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581F" w14:textId="3A985D87" w:rsidR="006F2D7B" w:rsidRPr="00C32572" w:rsidRDefault="00EA06A6" w:rsidP="00350F72">
      <w:pPr>
        <w:ind w:left="2160" w:hanging="2160"/>
        <w:rPr>
          <w:rFonts w:cs="Arial"/>
          <w:b/>
          <w:sz w:val="20"/>
        </w:rPr>
      </w:pPr>
      <w:r w:rsidRPr="00C32572">
        <w:rPr>
          <w:rFonts w:cs="Arial"/>
          <w:b/>
          <w:sz w:val="20"/>
        </w:rPr>
        <w:t>REPORT TO:</w:t>
      </w:r>
      <w:r w:rsidR="00C32572">
        <w:rPr>
          <w:rFonts w:cs="Arial"/>
          <w:b/>
          <w:sz w:val="20"/>
        </w:rPr>
        <w:tab/>
      </w:r>
      <w:r w:rsidR="006F2D7B" w:rsidRPr="00C32572">
        <w:rPr>
          <w:rFonts w:cs="Arial"/>
          <w:b/>
          <w:bCs/>
          <w:sz w:val="20"/>
        </w:rPr>
        <w:t xml:space="preserve">PENSION SUB-COMMITTEE OF THE </w:t>
      </w:r>
      <w:r w:rsidR="00474F1C">
        <w:rPr>
          <w:rFonts w:cs="Arial"/>
          <w:b/>
          <w:bCs/>
          <w:sz w:val="20"/>
        </w:rPr>
        <w:t>CITY GOVERNANCE</w:t>
      </w:r>
      <w:r w:rsidR="006F2D7B" w:rsidRPr="00C32572">
        <w:rPr>
          <w:rFonts w:cs="Arial"/>
          <w:b/>
          <w:bCs/>
          <w:sz w:val="20"/>
        </w:rPr>
        <w:t xml:space="preserve"> COMMITTEE &amp; PENSION BOARD</w:t>
      </w:r>
      <w:r w:rsidR="0003015F">
        <w:rPr>
          <w:rFonts w:cs="Arial"/>
          <w:b/>
          <w:bCs/>
          <w:sz w:val="20"/>
        </w:rPr>
        <w:t xml:space="preserve"> </w:t>
      </w:r>
      <w:r w:rsidR="00714B63" w:rsidRPr="001F0EB9">
        <w:rPr>
          <w:rFonts w:cs="Arial"/>
          <w:b/>
          <w:sz w:val="20"/>
        </w:rPr>
        <w:t xml:space="preserve">– </w:t>
      </w:r>
      <w:r w:rsidR="007D79E0">
        <w:rPr>
          <w:rFonts w:cs="Arial"/>
          <w:b/>
          <w:sz w:val="20"/>
        </w:rPr>
        <w:t>22 SEPTEMBER</w:t>
      </w:r>
      <w:r w:rsidR="0003015F">
        <w:rPr>
          <w:rFonts w:cs="Arial"/>
          <w:b/>
          <w:bCs/>
          <w:sz w:val="20"/>
        </w:rPr>
        <w:t xml:space="preserve"> 202</w:t>
      </w:r>
      <w:r w:rsidR="00D530C9">
        <w:rPr>
          <w:rFonts w:cs="Arial"/>
          <w:b/>
          <w:bCs/>
          <w:sz w:val="20"/>
        </w:rPr>
        <w:t>5</w:t>
      </w:r>
      <w:r w:rsidR="006F2D7B" w:rsidRPr="00C32572">
        <w:rPr>
          <w:rFonts w:cs="Arial"/>
          <w:b/>
          <w:sz w:val="20"/>
        </w:rPr>
        <w:tab/>
      </w:r>
    </w:p>
    <w:p w14:paraId="503F5820" w14:textId="77777777" w:rsidR="006F2D7B" w:rsidRPr="00C32572" w:rsidRDefault="006F2D7B" w:rsidP="00C32572">
      <w:pPr>
        <w:ind w:left="2160" w:hanging="2160"/>
        <w:jc w:val="both"/>
        <w:rPr>
          <w:rFonts w:cs="Arial"/>
          <w:b/>
          <w:sz w:val="20"/>
        </w:rPr>
      </w:pPr>
    </w:p>
    <w:p w14:paraId="503F5821" w14:textId="186935EB" w:rsidR="00EA06A6" w:rsidRPr="00C32572" w:rsidRDefault="00EA06A6" w:rsidP="00C32572">
      <w:pPr>
        <w:ind w:left="2160" w:hanging="2160"/>
        <w:jc w:val="both"/>
        <w:rPr>
          <w:rFonts w:cs="Arial"/>
          <w:b/>
          <w:bCs/>
          <w:sz w:val="20"/>
        </w:rPr>
      </w:pPr>
      <w:r w:rsidRPr="00C32572">
        <w:rPr>
          <w:rFonts w:cs="Arial"/>
          <w:b/>
          <w:sz w:val="20"/>
        </w:rPr>
        <w:t>REPORT ON:</w:t>
      </w:r>
      <w:r w:rsidRPr="00C32572">
        <w:rPr>
          <w:rFonts w:cs="Arial"/>
          <w:b/>
          <w:sz w:val="20"/>
        </w:rPr>
        <w:tab/>
      </w:r>
      <w:r w:rsidR="00923993">
        <w:rPr>
          <w:rFonts w:cs="Arial"/>
          <w:b/>
          <w:sz w:val="20"/>
        </w:rPr>
        <w:t>BREACH</w:t>
      </w:r>
      <w:r w:rsidR="005B61FE">
        <w:rPr>
          <w:rFonts w:cs="Arial"/>
          <w:b/>
          <w:sz w:val="20"/>
        </w:rPr>
        <w:t>ES OF LAW</w:t>
      </w:r>
      <w:r w:rsidR="00923993">
        <w:rPr>
          <w:rFonts w:cs="Arial"/>
          <w:b/>
          <w:sz w:val="20"/>
        </w:rPr>
        <w:t xml:space="preserve"> POLICY</w:t>
      </w:r>
    </w:p>
    <w:p w14:paraId="503F5822" w14:textId="77777777" w:rsidR="00EA06A6" w:rsidRPr="00C32572" w:rsidRDefault="00EA06A6" w:rsidP="00C32572">
      <w:pPr>
        <w:ind w:left="2160" w:hanging="2160"/>
        <w:jc w:val="both"/>
        <w:rPr>
          <w:rFonts w:cs="Arial"/>
          <w:b/>
          <w:bCs/>
          <w:sz w:val="20"/>
        </w:rPr>
      </w:pPr>
    </w:p>
    <w:p w14:paraId="503F5823" w14:textId="77777777" w:rsidR="00EA06A6" w:rsidRPr="00C32572" w:rsidRDefault="00EA06A6" w:rsidP="00C32572">
      <w:pPr>
        <w:ind w:left="2160" w:hanging="2160"/>
        <w:jc w:val="both"/>
        <w:rPr>
          <w:rFonts w:cs="Arial"/>
          <w:b/>
          <w:bCs/>
          <w:sz w:val="20"/>
        </w:rPr>
      </w:pPr>
      <w:r w:rsidRPr="00C32572">
        <w:rPr>
          <w:rFonts w:cs="Arial"/>
          <w:b/>
          <w:bCs/>
          <w:sz w:val="20"/>
        </w:rPr>
        <w:t>REPORT BY:</w:t>
      </w:r>
      <w:r w:rsidRPr="00C32572">
        <w:rPr>
          <w:rFonts w:cs="Arial"/>
          <w:b/>
          <w:bCs/>
          <w:sz w:val="20"/>
        </w:rPr>
        <w:tab/>
      </w:r>
      <w:r w:rsidR="002532D7" w:rsidRPr="00C32572">
        <w:rPr>
          <w:rFonts w:cs="Arial"/>
          <w:b/>
          <w:bCs/>
          <w:sz w:val="20"/>
        </w:rPr>
        <w:t xml:space="preserve">EXECUTIVE </w:t>
      </w:r>
      <w:r w:rsidRPr="00C32572">
        <w:rPr>
          <w:rFonts w:cs="Arial"/>
          <w:b/>
          <w:bCs/>
          <w:sz w:val="20"/>
        </w:rPr>
        <w:t>DIRECTOR OF CORPORATE SERVICES</w:t>
      </w:r>
    </w:p>
    <w:p w14:paraId="503F5824" w14:textId="77777777" w:rsidR="00EA06A6" w:rsidRPr="00C32572" w:rsidRDefault="00EA06A6" w:rsidP="00C32572">
      <w:pPr>
        <w:ind w:left="2160" w:hanging="2160"/>
        <w:jc w:val="both"/>
        <w:rPr>
          <w:rFonts w:cs="Arial"/>
          <w:b/>
          <w:bCs/>
          <w:sz w:val="20"/>
        </w:rPr>
      </w:pPr>
    </w:p>
    <w:p w14:paraId="503F5825" w14:textId="6F84300F" w:rsidR="00EA06A6" w:rsidRPr="00C32572" w:rsidRDefault="00EA06A6" w:rsidP="00C32572">
      <w:pPr>
        <w:ind w:left="2160" w:hanging="2160"/>
        <w:jc w:val="both"/>
        <w:rPr>
          <w:rFonts w:cs="Arial"/>
          <w:b/>
          <w:sz w:val="20"/>
        </w:rPr>
      </w:pPr>
      <w:r w:rsidRPr="002E44A9">
        <w:rPr>
          <w:rFonts w:cs="Arial"/>
          <w:b/>
          <w:sz w:val="20"/>
        </w:rPr>
        <w:t>REPORT NO:</w:t>
      </w:r>
      <w:r w:rsidRPr="00C32572">
        <w:rPr>
          <w:rFonts w:cs="Arial"/>
          <w:b/>
          <w:sz w:val="20"/>
        </w:rPr>
        <w:tab/>
      </w:r>
      <w:r w:rsidR="004F482E">
        <w:rPr>
          <w:rFonts w:cs="Arial"/>
          <w:b/>
          <w:sz w:val="20"/>
        </w:rPr>
        <w:t>261</w:t>
      </w:r>
      <w:r w:rsidR="00FE7E13">
        <w:rPr>
          <w:rFonts w:cs="Arial"/>
          <w:b/>
          <w:sz w:val="20"/>
        </w:rPr>
        <w:t>-2025</w:t>
      </w:r>
    </w:p>
    <w:p w14:paraId="503F5826" w14:textId="77777777" w:rsidR="00EA06A6" w:rsidRPr="00C32572" w:rsidRDefault="00EA06A6" w:rsidP="00C32572">
      <w:pPr>
        <w:jc w:val="both"/>
        <w:rPr>
          <w:rFonts w:cs="Arial"/>
          <w:b/>
          <w:bCs/>
          <w:sz w:val="20"/>
        </w:rPr>
      </w:pPr>
    </w:p>
    <w:p w14:paraId="503F5827" w14:textId="77777777" w:rsidR="00EA06A6" w:rsidRPr="009034C2" w:rsidRDefault="00EA06A6" w:rsidP="00C32572">
      <w:pPr>
        <w:numPr>
          <w:ilvl w:val="0"/>
          <w:numId w:val="1"/>
        </w:numPr>
        <w:jc w:val="both"/>
        <w:rPr>
          <w:rFonts w:cs="Arial"/>
          <w:b/>
          <w:sz w:val="20"/>
        </w:rPr>
      </w:pPr>
      <w:r w:rsidRPr="009034C2">
        <w:rPr>
          <w:rFonts w:cs="Arial"/>
          <w:b/>
          <w:sz w:val="20"/>
        </w:rPr>
        <w:t>PURPOSE OF REPORT</w:t>
      </w:r>
    </w:p>
    <w:p w14:paraId="503F5828" w14:textId="77777777" w:rsidR="00EA06A6" w:rsidRPr="009034C2" w:rsidRDefault="00EA06A6" w:rsidP="00C32572">
      <w:pPr>
        <w:jc w:val="both"/>
        <w:rPr>
          <w:rFonts w:cs="Arial"/>
          <w:b/>
          <w:sz w:val="20"/>
        </w:rPr>
      </w:pPr>
    </w:p>
    <w:p w14:paraId="503F5829" w14:textId="28D5E754" w:rsidR="00EA06A6" w:rsidRPr="009034C2" w:rsidRDefault="00EA06A6" w:rsidP="00BB4BCD">
      <w:pPr>
        <w:ind w:left="720"/>
        <w:jc w:val="both"/>
        <w:rPr>
          <w:rFonts w:cs="Arial"/>
          <w:sz w:val="20"/>
        </w:rPr>
      </w:pPr>
      <w:r w:rsidRPr="009034C2">
        <w:rPr>
          <w:rFonts w:cs="Arial"/>
          <w:sz w:val="20"/>
        </w:rPr>
        <w:t>This report sets out</w:t>
      </w:r>
      <w:r w:rsidR="004A2955" w:rsidRPr="009034C2">
        <w:rPr>
          <w:rFonts w:cs="Arial"/>
          <w:sz w:val="20"/>
        </w:rPr>
        <w:t xml:space="preserve"> the Fund’s policy in respect of </w:t>
      </w:r>
      <w:r w:rsidR="00923993">
        <w:rPr>
          <w:rFonts w:cs="Arial"/>
          <w:sz w:val="20"/>
        </w:rPr>
        <w:t xml:space="preserve">reporting breaches of the law to </w:t>
      </w:r>
      <w:r w:rsidR="00BB4BCD">
        <w:rPr>
          <w:rFonts w:cs="Arial"/>
          <w:sz w:val="20"/>
        </w:rPr>
        <w:t>T</w:t>
      </w:r>
      <w:r w:rsidR="00923993">
        <w:rPr>
          <w:rFonts w:cs="Arial"/>
          <w:sz w:val="20"/>
        </w:rPr>
        <w:t>he Pensions Regulator</w:t>
      </w:r>
      <w:r w:rsidRPr="009034C2">
        <w:rPr>
          <w:rFonts w:cs="Arial"/>
          <w:sz w:val="20"/>
        </w:rPr>
        <w:t>.</w:t>
      </w:r>
      <w:r w:rsidR="004A2955" w:rsidRPr="009034C2">
        <w:rPr>
          <w:rFonts w:cs="Arial"/>
          <w:sz w:val="20"/>
        </w:rPr>
        <w:t xml:space="preserve">  </w:t>
      </w:r>
    </w:p>
    <w:p w14:paraId="503F582A" w14:textId="77777777" w:rsidR="00EA06A6" w:rsidRPr="009034C2" w:rsidRDefault="00EA06A6" w:rsidP="00C32572">
      <w:pPr>
        <w:jc w:val="both"/>
        <w:rPr>
          <w:rFonts w:cs="Arial"/>
          <w:sz w:val="20"/>
          <w:highlight w:val="yellow"/>
        </w:rPr>
      </w:pPr>
    </w:p>
    <w:p w14:paraId="503F582B" w14:textId="77777777" w:rsidR="00EA06A6" w:rsidRPr="00235096" w:rsidRDefault="00EA06A6" w:rsidP="00C32572">
      <w:pPr>
        <w:numPr>
          <w:ilvl w:val="0"/>
          <w:numId w:val="1"/>
        </w:numPr>
        <w:jc w:val="both"/>
        <w:rPr>
          <w:rFonts w:cs="Arial"/>
          <w:b/>
          <w:sz w:val="20"/>
        </w:rPr>
      </w:pPr>
      <w:r w:rsidRPr="00235096">
        <w:rPr>
          <w:rFonts w:cs="Arial"/>
          <w:b/>
          <w:sz w:val="20"/>
        </w:rPr>
        <w:t>RECOMMENDATIONS</w:t>
      </w:r>
    </w:p>
    <w:p w14:paraId="503F582C" w14:textId="77777777" w:rsidR="00EA06A6" w:rsidRPr="00235096" w:rsidRDefault="00EA06A6" w:rsidP="00C32572">
      <w:pPr>
        <w:jc w:val="both"/>
        <w:rPr>
          <w:rFonts w:cs="Arial"/>
          <w:b/>
          <w:sz w:val="20"/>
        </w:rPr>
      </w:pPr>
    </w:p>
    <w:p w14:paraId="503F582D" w14:textId="42CA0ADC" w:rsidR="009C5EA0" w:rsidRPr="00235096" w:rsidRDefault="00923993" w:rsidP="00BB4BCD">
      <w:pPr>
        <w:ind w:left="720"/>
        <w:jc w:val="both"/>
        <w:rPr>
          <w:rFonts w:cs="Arial"/>
          <w:sz w:val="20"/>
        </w:rPr>
      </w:pPr>
      <w:r>
        <w:rPr>
          <w:rFonts w:cs="Arial"/>
          <w:sz w:val="20"/>
        </w:rPr>
        <w:t>Members are</w:t>
      </w:r>
      <w:r w:rsidR="00521A47" w:rsidRPr="00235096">
        <w:rPr>
          <w:rFonts w:cs="Arial"/>
          <w:sz w:val="20"/>
        </w:rPr>
        <w:t xml:space="preserve"> asked to</w:t>
      </w:r>
      <w:r w:rsidR="003C6FD7" w:rsidRPr="00235096">
        <w:rPr>
          <w:rFonts w:cs="Arial"/>
          <w:sz w:val="20"/>
        </w:rPr>
        <w:t xml:space="preserve"> a</w:t>
      </w:r>
      <w:r w:rsidR="004A2955" w:rsidRPr="00235096">
        <w:rPr>
          <w:rFonts w:cs="Arial"/>
          <w:sz w:val="20"/>
        </w:rPr>
        <w:t>pprove</w:t>
      </w:r>
      <w:r w:rsidR="009C5EA0" w:rsidRPr="00235096">
        <w:rPr>
          <w:rFonts w:cs="Arial"/>
          <w:sz w:val="20"/>
        </w:rPr>
        <w:t xml:space="preserve"> the </w:t>
      </w:r>
      <w:r w:rsidR="00974DA7">
        <w:rPr>
          <w:rFonts w:cs="Arial"/>
          <w:sz w:val="20"/>
        </w:rPr>
        <w:t>pol</w:t>
      </w:r>
      <w:r w:rsidR="00FA5451">
        <w:rPr>
          <w:rFonts w:cs="Arial"/>
          <w:sz w:val="20"/>
        </w:rPr>
        <w:t xml:space="preserve">icy </w:t>
      </w:r>
      <w:r w:rsidR="009C5EA0" w:rsidRPr="00235096">
        <w:rPr>
          <w:rFonts w:cs="Arial"/>
          <w:sz w:val="20"/>
        </w:rPr>
        <w:t>contained within</w:t>
      </w:r>
      <w:r w:rsidR="002C5883">
        <w:rPr>
          <w:rFonts w:cs="Arial"/>
          <w:sz w:val="20"/>
        </w:rPr>
        <w:t>.</w:t>
      </w:r>
    </w:p>
    <w:p w14:paraId="503F582E" w14:textId="77777777" w:rsidR="00BC4B52" w:rsidRPr="009034C2" w:rsidRDefault="00BC4B52" w:rsidP="00BC4B52">
      <w:pPr>
        <w:jc w:val="both"/>
        <w:rPr>
          <w:rFonts w:cs="Arial"/>
          <w:sz w:val="20"/>
          <w:highlight w:val="yellow"/>
        </w:rPr>
      </w:pPr>
    </w:p>
    <w:p w14:paraId="503F582F" w14:textId="77777777" w:rsidR="00BC4B52" w:rsidRPr="009034C2" w:rsidRDefault="00BC4B52" w:rsidP="00BC4B52">
      <w:pPr>
        <w:numPr>
          <w:ilvl w:val="0"/>
          <w:numId w:val="1"/>
        </w:numPr>
        <w:jc w:val="both"/>
        <w:rPr>
          <w:rFonts w:cs="Arial"/>
          <w:b/>
          <w:sz w:val="20"/>
        </w:rPr>
      </w:pPr>
      <w:r w:rsidRPr="009034C2">
        <w:rPr>
          <w:rFonts w:cs="Arial"/>
          <w:b/>
          <w:sz w:val="20"/>
        </w:rPr>
        <w:t>FINANCIAL IMPLICATIONS</w:t>
      </w:r>
    </w:p>
    <w:p w14:paraId="503F5830" w14:textId="77777777" w:rsidR="00BC4B52" w:rsidRPr="009034C2" w:rsidRDefault="00BC4B52" w:rsidP="00BC4B52">
      <w:pPr>
        <w:jc w:val="both"/>
        <w:rPr>
          <w:rFonts w:cs="Arial"/>
          <w:sz w:val="20"/>
        </w:rPr>
      </w:pPr>
    </w:p>
    <w:p w14:paraId="503F5831" w14:textId="77777777" w:rsidR="00BC4B52" w:rsidRPr="009034C2" w:rsidRDefault="00BC4B52" w:rsidP="00BB4BCD">
      <w:pPr>
        <w:ind w:left="720"/>
        <w:jc w:val="both"/>
        <w:rPr>
          <w:rFonts w:cs="Arial"/>
          <w:sz w:val="20"/>
        </w:rPr>
      </w:pPr>
      <w:r w:rsidRPr="009034C2">
        <w:rPr>
          <w:rFonts w:cs="Arial"/>
          <w:sz w:val="20"/>
        </w:rPr>
        <w:t>There are no financial implications.</w:t>
      </w:r>
    </w:p>
    <w:p w14:paraId="503F5832" w14:textId="77777777" w:rsidR="00003D13" w:rsidRPr="009034C2" w:rsidRDefault="00003D13" w:rsidP="00C32572">
      <w:pPr>
        <w:ind w:left="770" w:hanging="770"/>
        <w:jc w:val="both"/>
        <w:rPr>
          <w:rFonts w:cs="Arial"/>
          <w:sz w:val="20"/>
          <w:highlight w:val="yellow"/>
        </w:rPr>
      </w:pPr>
    </w:p>
    <w:p w14:paraId="503F5833" w14:textId="77777777" w:rsidR="00003D13" w:rsidRPr="009034C2" w:rsidRDefault="00003D13" w:rsidP="00C32572">
      <w:pPr>
        <w:numPr>
          <w:ilvl w:val="0"/>
          <w:numId w:val="1"/>
        </w:numPr>
        <w:jc w:val="both"/>
        <w:rPr>
          <w:rFonts w:cs="Arial"/>
          <w:b/>
          <w:sz w:val="20"/>
        </w:rPr>
      </w:pPr>
      <w:r w:rsidRPr="009034C2">
        <w:rPr>
          <w:rFonts w:cs="Arial"/>
          <w:b/>
          <w:sz w:val="20"/>
        </w:rPr>
        <w:t>BACKGROUND</w:t>
      </w:r>
    </w:p>
    <w:p w14:paraId="503F5834" w14:textId="77777777" w:rsidR="00EA06A6" w:rsidRPr="009034C2" w:rsidRDefault="00EA06A6" w:rsidP="00C32572">
      <w:pPr>
        <w:ind w:left="770" w:hanging="770"/>
        <w:jc w:val="both"/>
        <w:rPr>
          <w:rFonts w:cs="Arial"/>
          <w:sz w:val="20"/>
        </w:rPr>
      </w:pPr>
    </w:p>
    <w:p w14:paraId="503F5837" w14:textId="72DF88F5" w:rsidR="004A2955" w:rsidRPr="009034C2" w:rsidRDefault="00192B03" w:rsidP="007E7D7E">
      <w:pPr>
        <w:ind w:left="720"/>
        <w:jc w:val="both"/>
        <w:rPr>
          <w:rFonts w:cs="Arial"/>
          <w:sz w:val="20"/>
        </w:rPr>
      </w:pPr>
      <w:r w:rsidRPr="009034C2">
        <w:rPr>
          <w:rFonts w:cs="Arial"/>
          <w:sz w:val="20"/>
        </w:rPr>
        <w:t xml:space="preserve">As part of a </w:t>
      </w:r>
      <w:r w:rsidR="00DE2032">
        <w:rPr>
          <w:rFonts w:cs="Arial"/>
          <w:sz w:val="20"/>
        </w:rPr>
        <w:t xml:space="preserve">review of compliance with the Pensions Regulators Revised Code, </w:t>
      </w:r>
      <w:proofErr w:type="spellStart"/>
      <w:r w:rsidR="00DE2032">
        <w:rPr>
          <w:rFonts w:cs="Arial"/>
          <w:sz w:val="20"/>
        </w:rPr>
        <w:t>Isio</w:t>
      </w:r>
      <w:proofErr w:type="spellEnd"/>
      <w:r w:rsidR="00DE2032">
        <w:rPr>
          <w:rFonts w:cs="Arial"/>
          <w:sz w:val="20"/>
        </w:rPr>
        <w:t xml:space="preserve"> recommended </w:t>
      </w:r>
      <w:r w:rsidR="00743BB1">
        <w:rPr>
          <w:rFonts w:cs="Arial"/>
          <w:sz w:val="20"/>
        </w:rPr>
        <w:t>development of a policy</w:t>
      </w:r>
      <w:r w:rsidR="007E7D7E">
        <w:rPr>
          <w:rFonts w:cs="Arial"/>
          <w:sz w:val="20"/>
        </w:rPr>
        <w:t xml:space="preserve"> </w:t>
      </w:r>
      <w:r w:rsidR="003D70AA">
        <w:rPr>
          <w:rFonts w:cs="Arial"/>
          <w:sz w:val="20"/>
        </w:rPr>
        <w:t xml:space="preserve">which </w:t>
      </w:r>
      <w:r w:rsidR="00930E82">
        <w:rPr>
          <w:rFonts w:cs="Arial"/>
          <w:sz w:val="20"/>
        </w:rPr>
        <w:t>set out the treatment of breaches in the law</w:t>
      </w:r>
      <w:r w:rsidR="008D7B42">
        <w:rPr>
          <w:rFonts w:cs="Arial"/>
          <w:sz w:val="20"/>
        </w:rPr>
        <w:t>.</w:t>
      </w:r>
    </w:p>
    <w:p w14:paraId="503F5838" w14:textId="77777777" w:rsidR="00B80F22" w:rsidRPr="009034C2" w:rsidRDefault="00B80F22" w:rsidP="004A2955">
      <w:pPr>
        <w:ind w:left="720"/>
        <w:jc w:val="both"/>
        <w:rPr>
          <w:rFonts w:cs="Arial"/>
          <w:sz w:val="20"/>
          <w:highlight w:val="yellow"/>
        </w:rPr>
      </w:pPr>
    </w:p>
    <w:p w14:paraId="503F583D" w14:textId="77777777" w:rsidR="00EA06A6" w:rsidRPr="009034C2" w:rsidRDefault="00EA06A6" w:rsidP="00C32572">
      <w:pPr>
        <w:numPr>
          <w:ilvl w:val="0"/>
          <w:numId w:val="1"/>
        </w:numPr>
        <w:jc w:val="both"/>
        <w:rPr>
          <w:rFonts w:cs="Arial"/>
          <w:b/>
          <w:sz w:val="20"/>
        </w:rPr>
      </w:pPr>
      <w:r w:rsidRPr="009034C2">
        <w:rPr>
          <w:rFonts w:cs="Arial"/>
          <w:b/>
          <w:sz w:val="20"/>
        </w:rPr>
        <w:t>POLICY IMPLICATIONS</w:t>
      </w:r>
    </w:p>
    <w:p w14:paraId="503F583E" w14:textId="77777777" w:rsidR="00EA06A6" w:rsidRPr="009034C2" w:rsidRDefault="00EA06A6" w:rsidP="003C6FD7">
      <w:pPr>
        <w:jc w:val="both"/>
        <w:rPr>
          <w:rFonts w:cs="Arial"/>
          <w:sz w:val="20"/>
        </w:rPr>
      </w:pPr>
    </w:p>
    <w:p w14:paraId="503F583F" w14:textId="77777777" w:rsidR="00EA06A6" w:rsidRPr="009034C2" w:rsidRDefault="00A61B4F" w:rsidP="007E7D7E">
      <w:pPr>
        <w:ind w:left="720"/>
        <w:jc w:val="both"/>
        <w:rPr>
          <w:rFonts w:cs="Arial"/>
          <w:sz w:val="20"/>
        </w:rPr>
      </w:pPr>
      <w:r w:rsidRPr="009034C2">
        <w:rPr>
          <w:rFonts w:cs="Arial"/>
          <w:sz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03F5840" w14:textId="77777777" w:rsidR="000956A3" w:rsidRPr="009034C2" w:rsidRDefault="000956A3" w:rsidP="003C6FD7">
      <w:pPr>
        <w:jc w:val="both"/>
        <w:rPr>
          <w:rFonts w:cs="Arial"/>
          <w:sz w:val="20"/>
          <w:highlight w:val="yellow"/>
        </w:rPr>
      </w:pPr>
    </w:p>
    <w:p w14:paraId="503F5843" w14:textId="799D8A05" w:rsidR="00EA06A6" w:rsidRPr="009034C2" w:rsidRDefault="00EA06A6" w:rsidP="002912C5">
      <w:pPr>
        <w:numPr>
          <w:ilvl w:val="0"/>
          <w:numId w:val="1"/>
        </w:numPr>
        <w:jc w:val="both"/>
        <w:rPr>
          <w:rFonts w:cs="Arial"/>
          <w:b/>
          <w:sz w:val="20"/>
        </w:rPr>
      </w:pPr>
      <w:r w:rsidRPr="009034C2">
        <w:rPr>
          <w:rFonts w:cs="Arial"/>
          <w:b/>
          <w:sz w:val="20"/>
        </w:rPr>
        <w:t>CONSULTATIONS</w:t>
      </w:r>
    </w:p>
    <w:p w14:paraId="503F5844" w14:textId="77777777" w:rsidR="00BC4B52" w:rsidRPr="009034C2" w:rsidRDefault="00BC4B52" w:rsidP="00BC4B52">
      <w:pPr>
        <w:jc w:val="both"/>
        <w:rPr>
          <w:rFonts w:cs="Arial"/>
          <w:b/>
          <w:sz w:val="20"/>
        </w:rPr>
      </w:pPr>
    </w:p>
    <w:p w14:paraId="503F5845" w14:textId="342A2008" w:rsidR="00EA06A6" w:rsidRPr="009034C2" w:rsidRDefault="00EA06A6" w:rsidP="006F3E35">
      <w:pPr>
        <w:ind w:left="720"/>
        <w:jc w:val="both"/>
        <w:rPr>
          <w:rFonts w:cs="Arial"/>
          <w:sz w:val="20"/>
        </w:rPr>
      </w:pPr>
      <w:r w:rsidRPr="009034C2">
        <w:rPr>
          <w:rFonts w:cs="Arial"/>
          <w:sz w:val="20"/>
        </w:rPr>
        <w:t>The Chief Executive and Head of Democratic and Legal Services have been consulted in the preparation of this report.</w:t>
      </w:r>
    </w:p>
    <w:p w14:paraId="503F5846" w14:textId="77777777" w:rsidR="00EA06A6" w:rsidRPr="009034C2" w:rsidRDefault="00EA06A6" w:rsidP="00C32572">
      <w:pPr>
        <w:jc w:val="both"/>
        <w:rPr>
          <w:rFonts w:cs="Arial"/>
          <w:sz w:val="20"/>
          <w:highlight w:val="yellow"/>
        </w:rPr>
      </w:pPr>
    </w:p>
    <w:p w14:paraId="503F5847" w14:textId="77777777" w:rsidR="00EA06A6" w:rsidRPr="00195FA7" w:rsidRDefault="00EA06A6" w:rsidP="00C32572">
      <w:pPr>
        <w:numPr>
          <w:ilvl w:val="0"/>
          <w:numId w:val="1"/>
        </w:numPr>
        <w:jc w:val="both"/>
        <w:rPr>
          <w:rFonts w:cs="Arial"/>
          <w:b/>
          <w:bCs/>
          <w:sz w:val="20"/>
        </w:rPr>
      </w:pPr>
      <w:r w:rsidRPr="00195FA7">
        <w:rPr>
          <w:rFonts w:cs="Arial"/>
          <w:b/>
          <w:bCs/>
          <w:sz w:val="20"/>
        </w:rPr>
        <w:t>BACKGROUND PAPERS</w:t>
      </w:r>
    </w:p>
    <w:p w14:paraId="503F5848" w14:textId="77777777" w:rsidR="00EA06A6" w:rsidRPr="00195FA7" w:rsidRDefault="00EA06A6" w:rsidP="00C32572">
      <w:pPr>
        <w:jc w:val="both"/>
        <w:rPr>
          <w:rFonts w:cs="Arial"/>
          <w:b/>
          <w:bCs/>
          <w:sz w:val="20"/>
        </w:rPr>
      </w:pPr>
    </w:p>
    <w:p w14:paraId="503F5849" w14:textId="77777777" w:rsidR="00EA06A6" w:rsidRPr="00195FA7" w:rsidRDefault="00EA06A6" w:rsidP="006F3E35">
      <w:pPr>
        <w:ind w:firstLine="720"/>
        <w:jc w:val="both"/>
        <w:rPr>
          <w:rFonts w:cs="Arial"/>
          <w:sz w:val="20"/>
        </w:rPr>
      </w:pPr>
      <w:r w:rsidRPr="00195FA7">
        <w:rPr>
          <w:rFonts w:cs="Arial"/>
          <w:sz w:val="20"/>
        </w:rPr>
        <w:t>None</w:t>
      </w:r>
    </w:p>
    <w:p w14:paraId="503F584A" w14:textId="77777777" w:rsidR="00EA06A6" w:rsidRPr="00195FA7" w:rsidRDefault="00EA06A6" w:rsidP="00C32572">
      <w:pPr>
        <w:ind w:left="770" w:hanging="770"/>
        <w:jc w:val="both"/>
        <w:rPr>
          <w:rFonts w:cs="Arial"/>
          <w:sz w:val="20"/>
        </w:rPr>
      </w:pPr>
    </w:p>
    <w:p w14:paraId="503F584B" w14:textId="17B28036" w:rsidR="00EA06A6" w:rsidRPr="00195FA7" w:rsidRDefault="001C75CF" w:rsidP="006F3E35">
      <w:pPr>
        <w:ind w:firstLine="720"/>
        <w:jc w:val="both"/>
        <w:rPr>
          <w:rFonts w:cs="Arial"/>
          <w:b/>
          <w:sz w:val="20"/>
        </w:rPr>
      </w:pPr>
      <w:r>
        <w:rPr>
          <w:rFonts w:cs="Arial"/>
          <w:b/>
          <w:sz w:val="20"/>
        </w:rPr>
        <w:t>PAUL THOMSON</w:t>
      </w:r>
    </w:p>
    <w:p w14:paraId="503F584C" w14:textId="13204E83" w:rsidR="00EA06A6" w:rsidRPr="00195FA7" w:rsidRDefault="009A3831" w:rsidP="006F3E35">
      <w:pPr>
        <w:ind w:firstLine="720"/>
        <w:jc w:val="both"/>
        <w:rPr>
          <w:rFonts w:cs="Arial"/>
          <w:b/>
          <w:caps/>
          <w:sz w:val="20"/>
        </w:rPr>
      </w:pPr>
      <w:r w:rsidRPr="00195FA7">
        <w:rPr>
          <w:rFonts w:cs="Arial"/>
          <w:b/>
          <w:sz w:val="20"/>
        </w:rPr>
        <w:t xml:space="preserve">EXECUTIVE </w:t>
      </w:r>
      <w:r w:rsidR="00EA06A6" w:rsidRPr="00195FA7">
        <w:rPr>
          <w:rFonts w:cs="Arial"/>
          <w:b/>
          <w:sz w:val="20"/>
        </w:rPr>
        <w:t xml:space="preserve">DIRECTOR OF CORPORATE SERVICES </w:t>
      </w:r>
      <w:r w:rsidR="00EA06A6" w:rsidRPr="00195FA7">
        <w:rPr>
          <w:rFonts w:cs="Arial"/>
          <w:b/>
          <w:sz w:val="20"/>
        </w:rPr>
        <w:tab/>
      </w:r>
      <w:r w:rsidR="00EA06A6" w:rsidRPr="00195FA7">
        <w:rPr>
          <w:rFonts w:cs="Arial"/>
          <w:b/>
          <w:sz w:val="20"/>
        </w:rPr>
        <w:tab/>
      </w:r>
      <w:r w:rsidR="00E23749" w:rsidRPr="00195FA7">
        <w:rPr>
          <w:rFonts w:cs="Arial"/>
          <w:b/>
          <w:sz w:val="20"/>
        </w:rPr>
        <w:tab/>
      </w:r>
      <w:r w:rsidR="00EA06A6" w:rsidRPr="00195FA7">
        <w:rPr>
          <w:rFonts w:cs="Arial"/>
          <w:b/>
          <w:caps/>
          <w:sz w:val="20"/>
        </w:rPr>
        <w:fldChar w:fldCharType="begin"/>
      </w:r>
      <w:r w:rsidR="00EA06A6" w:rsidRPr="00195FA7">
        <w:rPr>
          <w:rFonts w:cs="Arial"/>
          <w:b/>
          <w:caps/>
          <w:sz w:val="20"/>
        </w:rPr>
        <w:instrText xml:space="preserve"> DATE \@ "d MMMM yyyy" </w:instrText>
      </w:r>
      <w:r w:rsidR="00EA06A6" w:rsidRPr="00195FA7">
        <w:rPr>
          <w:rFonts w:cs="Arial"/>
          <w:b/>
          <w:caps/>
          <w:sz w:val="20"/>
        </w:rPr>
        <w:fldChar w:fldCharType="separate"/>
      </w:r>
      <w:r w:rsidR="004F482E">
        <w:rPr>
          <w:rFonts w:cs="Arial"/>
          <w:b/>
          <w:caps/>
          <w:noProof/>
          <w:sz w:val="20"/>
        </w:rPr>
        <w:t>28 August 2025</w:t>
      </w:r>
      <w:r w:rsidR="00EA06A6" w:rsidRPr="00195FA7">
        <w:rPr>
          <w:rFonts w:cs="Arial"/>
          <w:b/>
          <w:caps/>
          <w:sz w:val="20"/>
        </w:rPr>
        <w:fldChar w:fldCharType="end"/>
      </w:r>
    </w:p>
    <w:p w14:paraId="503F584D" w14:textId="77777777" w:rsidR="00BC4B52" w:rsidRPr="009034C2" w:rsidRDefault="00BC4B52" w:rsidP="00BC4B52">
      <w:pPr>
        <w:tabs>
          <w:tab w:val="left" w:pos="5060"/>
        </w:tabs>
        <w:rPr>
          <w:rFonts w:cs="Arial"/>
          <w:b/>
          <w:caps/>
          <w:highlight w:val="yellow"/>
        </w:rPr>
      </w:pPr>
    </w:p>
    <w:p w14:paraId="503F584E" w14:textId="77777777" w:rsidR="00BC4B52" w:rsidRPr="009034C2" w:rsidRDefault="00BC4B52" w:rsidP="00BC4B52">
      <w:pPr>
        <w:tabs>
          <w:tab w:val="left" w:pos="5060"/>
        </w:tabs>
        <w:rPr>
          <w:rFonts w:cs="Arial"/>
          <w:b/>
          <w:caps/>
          <w:highlight w:val="yellow"/>
        </w:rPr>
      </w:pPr>
    </w:p>
    <w:p w14:paraId="503F584F" w14:textId="77777777" w:rsidR="00BC4B52" w:rsidRDefault="00BC4B52" w:rsidP="00BC4B52">
      <w:pPr>
        <w:tabs>
          <w:tab w:val="left" w:pos="5060"/>
        </w:tabs>
        <w:jc w:val="center"/>
        <w:rPr>
          <w:rFonts w:cs="Arial"/>
          <w:color w:val="000000"/>
          <w:sz w:val="20"/>
          <w:highlight w:val="yellow"/>
          <w:lang w:eastAsia="en-GB"/>
        </w:rPr>
      </w:pPr>
    </w:p>
    <w:p w14:paraId="67F3A3F8" w14:textId="77777777" w:rsidR="00585942" w:rsidRDefault="00585942" w:rsidP="00BC4B52">
      <w:pPr>
        <w:tabs>
          <w:tab w:val="left" w:pos="5060"/>
        </w:tabs>
        <w:jc w:val="center"/>
        <w:rPr>
          <w:rFonts w:cs="Arial"/>
          <w:color w:val="000000"/>
          <w:sz w:val="20"/>
          <w:highlight w:val="yellow"/>
          <w:lang w:eastAsia="en-GB"/>
        </w:rPr>
      </w:pPr>
    </w:p>
    <w:p w14:paraId="046CA91F" w14:textId="77777777" w:rsidR="00585942" w:rsidRDefault="00585942" w:rsidP="00BC4B52">
      <w:pPr>
        <w:tabs>
          <w:tab w:val="left" w:pos="5060"/>
        </w:tabs>
        <w:jc w:val="center"/>
        <w:rPr>
          <w:rFonts w:cs="Arial"/>
          <w:color w:val="000000"/>
          <w:sz w:val="20"/>
          <w:highlight w:val="yellow"/>
          <w:lang w:eastAsia="en-GB"/>
        </w:rPr>
      </w:pPr>
    </w:p>
    <w:p w14:paraId="49EFAC1C" w14:textId="77777777" w:rsidR="00585942" w:rsidRDefault="00585942" w:rsidP="00BC4B52">
      <w:pPr>
        <w:tabs>
          <w:tab w:val="left" w:pos="5060"/>
        </w:tabs>
        <w:jc w:val="center"/>
        <w:rPr>
          <w:rFonts w:cs="Arial"/>
          <w:color w:val="000000"/>
          <w:sz w:val="20"/>
          <w:highlight w:val="yellow"/>
          <w:lang w:eastAsia="en-GB"/>
        </w:rPr>
      </w:pPr>
    </w:p>
    <w:p w14:paraId="4E610808" w14:textId="77777777" w:rsidR="00585942" w:rsidRDefault="00585942" w:rsidP="00BC4B52">
      <w:pPr>
        <w:tabs>
          <w:tab w:val="left" w:pos="5060"/>
        </w:tabs>
        <w:jc w:val="center"/>
        <w:rPr>
          <w:rFonts w:cs="Arial"/>
          <w:color w:val="000000"/>
          <w:sz w:val="20"/>
          <w:highlight w:val="yellow"/>
          <w:lang w:eastAsia="en-GB"/>
        </w:rPr>
      </w:pPr>
    </w:p>
    <w:p w14:paraId="2CE6353F" w14:textId="77777777" w:rsidR="00585942" w:rsidRDefault="00585942" w:rsidP="00BC4B52">
      <w:pPr>
        <w:tabs>
          <w:tab w:val="left" w:pos="5060"/>
        </w:tabs>
        <w:jc w:val="center"/>
        <w:rPr>
          <w:rFonts w:cs="Arial"/>
          <w:color w:val="000000"/>
          <w:sz w:val="20"/>
          <w:highlight w:val="yellow"/>
          <w:lang w:eastAsia="en-GB"/>
        </w:rPr>
      </w:pPr>
    </w:p>
    <w:p w14:paraId="7F9A4D35" w14:textId="77777777" w:rsidR="00585942" w:rsidRDefault="00585942" w:rsidP="00BC4B52">
      <w:pPr>
        <w:tabs>
          <w:tab w:val="left" w:pos="5060"/>
        </w:tabs>
        <w:jc w:val="center"/>
        <w:rPr>
          <w:rFonts w:cs="Arial"/>
          <w:color w:val="000000"/>
          <w:sz w:val="20"/>
          <w:highlight w:val="yellow"/>
          <w:lang w:eastAsia="en-GB"/>
        </w:rPr>
      </w:pPr>
    </w:p>
    <w:p w14:paraId="1BCA18E4" w14:textId="77777777" w:rsidR="00585942" w:rsidRDefault="00585942" w:rsidP="00BC4B52">
      <w:pPr>
        <w:tabs>
          <w:tab w:val="left" w:pos="5060"/>
        </w:tabs>
        <w:jc w:val="center"/>
        <w:rPr>
          <w:rFonts w:cs="Arial"/>
          <w:color w:val="000000"/>
          <w:sz w:val="20"/>
          <w:highlight w:val="yellow"/>
          <w:lang w:eastAsia="en-GB"/>
        </w:rPr>
      </w:pPr>
    </w:p>
    <w:p w14:paraId="5FA2C70C" w14:textId="77777777" w:rsidR="00585942" w:rsidRDefault="00585942" w:rsidP="00BC4B52">
      <w:pPr>
        <w:tabs>
          <w:tab w:val="left" w:pos="5060"/>
        </w:tabs>
        <w:jc w:val="center"/>
        <w:rPr>
          <w:rFonts w:cs="Arial"/>
          <w:color w:val="000000"/>
          <w:sz w:val="20"/>
          <w:highlight w:val="yellow"/>
          <w:lang w:eastAsia="en-GB"/>
        </w:rPr>
      </w:pPr>
    </w:p>
    <w:p w14:paraId="5A3C9242" w14:textId="77777777" w:rsidR="00585942" w:rsidRDefault="00585942" w:rsidP="00BC4B52">
      <w:pPr>
        <w:tabs>
          <w:tab w:val="left" w:pos="5060"/>
        </w:tabs>
        <w:jc w:val="center"/>
        <w:rPr>
          <w:rFonts w:cs="Arial"/>
          <w:color w:val="000000"/>
          <w:sz w:val="20"/>
          <w:highlight w:val="yellow"/>
          <w:lang w:eastAsia="en-GB"/>
        </w:rPr>
      </w:pPr>
    </w:p>
    <w:p w14:paraId="5159EB29" w14:textId="77777777" w:rsidR="00585942" w:rsidRDefault="00585942" w:rsidP="00BC4B52">
      <w:pPr>
        <w:tabs>
          <w:tab w:val="left" w:pos="5060"/>
        </w:tabs>
        <w:jc w:val="center"/>
        <w:rPr>
          <w:rFonts w:cs="Arial"/>
          <w:color w:val="000000"/>
          <w:sz w:val="20"/>
          <w:highlight w:val="yellow"/>
          <w:lang w:eastAsia="en-GB"/>
        </w:rPr>
      </w:pPr>
    </w:p>
    <w:p w14:paraId="5BFDEE65" w14:textId="77777777" w:rsidR="00585942" w:rsidRDefault="00585942" w:rsidP="00BC4B52">
      <w:pPr>
        <w:tabs>
          <w:tab w:val="left" w:pos="5060"/>
        </w:tabs>
        <w:jc w:val="center"/>
        <w:rPr>
          <w:rFonts w:cs="Arial"/>
          <w:color w:val="000000"/>
          <w:sz w:val="20"/>
          <w:highlight w:val="yellow"/>
          <w:lang w:eastAsia="en-GB"/>
        </w:rPr>
      </w:pPr>
    </w:p>
    <w:p w14:paraId="641C8243" w14:textId="77777777" w:rsidR="00585942" w:rsidRDefault="00585942" w:rsidP="00BC4B52">
      <w:pPr>
        <w:tabs>
          <w:tab w:val="left" w:pos="5060"/>
        </w:tabs>
        <w:jc w:val="center"/>
        <w:rPr>
          <w:rFonts w:cs="Arial"/>
          <w:color w:val="000000"/>
          <w:sz w:val="20"/>
          <w:highlight w:val="yellow"/>
          <w:lang w:eastAsia="en-GB"/>
        </w:rPr>
      </w:pPr>
    </w:p>
    <w:p w14:paraId="7C7EBD8B" w14:textId="77777777" w:rsidR="00585942" w:rsidRPr="009034C2" w:rsidRDefault="00585942" w:rsidP="00BC4B52">
      <w:pPr>
        <w:tabs>
          <w:tab w:val="left" w:pos="5060"/>
        </w:tabs>
        <w:jc w:val="center"/>
        <w:rPr>
          <w:rFonts w:cs="Arial"/>
          <w:color w:val="000000"/>
          <w:sz w:val="20"/>
          <w:highlight w:val="yellow"/>
          <w:lang w:eastAsia="en-GB"/>
        </w:rPr>
      </w:pPr>
    </w:p>
    <w:p w14:paraId="503F5850" w14:textId="77777777" w:rsidR="003C6FD7" w:rsidRPr="009034C2" w:rsidRDefault="003C6FD7" w:rsidP="00BC4B52">
      <w:pPr>
        <w:tabs>
          <w:tab w:val="left" w:pos="5060"/>
        </w:tabs>
        <w:jc w:val="center"/>
        <w:rPr>
          <w:rFonts w:cs="Arial"/>
          <w:color w:val="000000"/>
          <w:sz w:val="20"/>
          <w:highlight w:val="yellow"/>
          <w:lang w:eastAsia="en-GB"/>
        </w:rPr>
      </w:pPr>
    </w:p>
    <w:p w14:paraId="503F5851" w14:textId="77777777" w:rsidR="003C6FD7" w:rsidRPr="009034C2" w:rsidRDefault="003C6FD7" w:rsidP="00BC4B52">
      <w:pPr>
        <w:tabs>
          <w:tab w:val="left" w:pos="5060"/>
        </w:tabs>
        <w:jc w:val="center"/>
        <w:rPr>
          <w:rFonts w:cs="Arial"/>
          <w:color w:val="000000"/>
          <w:sz w:val="20"/>
          <w:highlight w:val="yellow"/>
          <w:lang w:eastAsia="en-GB"/>
        </w:rPr>
      </w:pPr>
    </w:p>
    <w:p w14:paraId="503F5852" w14:textId="77777777" w:rsidR="003C6FD7" w:rsidRPr="009034C2" w:rsidRDefault="003C6FD7" w:rsidP="00BC4B52">
      <w:pPr>
        <w:tabs>
          <w:tab w:val="left" w:pos="5060"/>
        </w:tabs>
        <w:jc w:val="center"/>
        <w:rPr>
          <w:rFonts w:cs="Arial"/>
          <w:color w:val="000000"/>
          <w:sz w:val="20"/>
          <w:highlight w:val="yellow"/>
          <w:lang w:eastAsia="en-GB"/>
        </w:rPr>
      </w:pPr>
    </w:p>
    <w:p w14:paraId="503F5853" w14:textId="77777777" w:rsidR="003C6FD7" w:rsidRPr="009034C2" w:rsidRDefault="003C6FD7" w:rsidP="00BC4B52">
      <w:pPr>
        <w:tabs>
          <w:tab w:val="left" w:pos="5060"/>
        </w:tabs>
        <w:jc w:val="center"/>
        <w:rPr>
          <w:rFonts w:cs="Arial"/>
          <w:color w:val="000000"/>
          <w:sz w:val="20"/>
          <w:highlight w:val="yellow"/>
          <w:lang w:eastAsia="en-GB"/>
        </w:rPr>
      </w:pPr>
    </w:p>
    <w:p w14:paraId="503F5854" w14:textId="77777777" w:rsidR="003C6FD7" w:rsidRPr="009034C2" w:rsidRDefault="003C6FD7" w:rsidP="00BC4B52">
      <w:pPr>
        <w:tabs>
          <w:tab w:val="left" w:pos="5060"/>
        </w:tabs>
        <w:jc w:val="center"/>
        <w:rPr>
          <w:rFonts w:cs="Arial"/>
          <w:color w:val="000000"/>
          <w:sz w:val="20"/>
          <w:highlight w:val="yellow"/>
          <w:lang w:eastAsia="en-GB"/>
        </w:rPr>
      </w:pPr>
    </w:p>
    <w:p w14:paraId="503F5855" w14:textId="77777777" w:rsidR="003C6FD7" w:rsidRPr="009034C2" w:rsidRDefault="003C6FD7" w:rsidP="00BC4B52">
      <w:pPr>
        <w:tabs>
          <w:tab w:val="left" w:pos="5060"/>
        </w:tabs>
        <w:jc w:val="center"/>
        <w:rPr>
          <w:rFonts w:cs="Arial"/>
          <w:color w:val="000000"/>
          <w:sz w:val="20"/>
          <w:highlight w:val="yellow"/>
          <w:lang w:eastAsia="en-GB"/>
        </w:rPr>
      </w:pPr>
    </w:p>
    <w:p w14:paraId="405268AE" w14:textId="77777777" w:rsidR="00585942" w:rsidRDefault="00585942" w:rsidP="00BC4B52">
      <w:pPr>
        <w:tabs>
          <w:tab w:val="left" w:pos="5060"/>
        </w:tabs>
        <w:jc w:val="center"/>
        <w:rPr>
          <w:rFonts w:cs="Arial"/>
          <w:color w:val="000000"/>
          <w:sz w:val="20"/>
          <w:highlight w:val="yellow"/>
          <w:lang w:eastAsia="en-GB"/>
        </w:rPr>
      </w:pPr>
    </w:p>
    <w:p w14:paraId="302436A7" w14:textId="77777777" w:rsidR="00585942" w:rsidRDefault="00585942" w:rsidP="00BC4B52">
      <w:pPr>
        <w:tabs>
          <w:tab w:val="left" w:pos="5060"/>
        </w:tabs>
        <w:jc w:val="center"/>
        <w:rPr>
          <w:rFonts w:cs="Arial"/>
          <w:color w:val="000000"/>
          <w:sz w:val="20"/>
          <w:highlight w:val="yellow"/>
          <w:lang w:eastAsia="en-GB"/>
        </w:rPr>
      </w:pPr>
    </w:p>
    <w:p w14:paraId="503F5856" w14:textId="3486BD98" w:rsidR="00BC4B52" w:rsidRPr="009034C2" w:rsidRDefault="00BC4B52" w:rsidP="00BC4B52">
      <w:pPr>
        <w:tabs>
          <w:tab w:val="left" w:pos="5060"/>
        </w:tabs>
        <w:jc w:val="center"/>
        <w:rPr>
          <w:rFonts w:cs="Arial"/>
          <w:color w:val="000000"/>
          <w:sz w:val="20"/>
          <w:highlight w:val="yellow"/>
          <w:lang w:eastAsia="en-GB"/>
        </w:rPr>
      </w:pPr>
      <w:r w:rsidRPr="009034C2">
        <w:rPr>
          <w:rFonts w:cs="Arial"/>
          <w:noProof/>
          <w:color w:val="000000"/>
          <w:sz w:val="20"/>
          <w:highlight w:val="yellow"/>
          <w:lang w:eastAsia="en-GB"/>
        </w:rPr>
        <w:drawing>
          <wp:inline distT="0" distB="0" distL="0" distR="0" wp14:anchorId="503F5A80" wp14:editId="503F5A81">
            <wp:extent cx="3084830" cy="1511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1511935"/>
                    </a:xfrm>
                    <a:prstGeom prst="rect">
                      <a:avLst/>
                    </a:prstGeom>
                    <a:noFill/>
                  </pic:spPr>
                </pic:pic>
              </a:graphicData>
            </a:graphic>
          </wp:inline>
        </w:drawing>
      </w:r>
    </w:p>
    <w:p w14:paraId="503F5857" w14:textId="77777777" w:rsidR="00BC4B52" w:rsidRPr="009034C2" w:rsidRDefault="00BC4B52" w:rsidP="00BC4B52">
      <w:pPr>
        <w:tabs>
          <w:tab w:val="left" w:pos="5060"/>
        </w:tabs>
        <w:jc w:val="center"/>
        <w:rPr>
          <w:rFonts w:cs="Arial"/>
          <w:color w:val="000000"/>
          <w:sz w:val="20"/>
          <w:highlight w:val="yellow"/>
          <w:lang w:eastAsia="en-GB"/>
        </w:rPr>
      </w:pPr>
    </w:p>
    <w:p w14:paraId="503F5858" w14:textId="77777777" w:rsidR="00BC4B52" w:rsidRPr="009034C2" w:rsidRDefault="00BC4B52" w:rsidP="00BC4B52">
      <w:pPr>
        <w:tabs>
          <w:tab w:val="left" w:pos="5060"/>
        </w:tabs>
        <w:jc w:val="center"/>
        <w:rPr>
          <w:rFonts w:cs="Arial"/>
          <w:color w:val="000000"/>
          <w:sz w:val="20"/>
          <w:highlight w:val="yellow"/>
          <w:lang w:eastAsia="en-GB"/>
        </w:rPr>
      </w:pPr>
    </w:p>
    <w:p w14:paraId="503F5859" w14:textId="77777777" w:rsidR="00BC4B52" w:rsidRPr="009034C2" w:rsidRDefault="00BC4B52" w:rsidP="00BC4B52">
      <w:pPr>
        <w:tabs>
          <w:tab w:val="left" w:pos="5060"/>
        </w:tabs>
        <w:jc w:val="center"/>
        <w:rPr>
          <w:rFonts w:cs="Arial"/>
          <w:color w:val="000000"/>
          <w:sz w:val="20"/>
          <w:highlight w:val="yellow"/>
          <w:lang w:eastAsia="en-GB"/>
        </w:rPr>
      </w:pPr>
    </w:p>
    <w:p w14:paraId="503F585B" w14:textId="41F16E8F" w:rsidR="00BC4B52" w:rsidRPr="00516F0B" w:rsidRDefault="00FA5451" w:rsidP="00FA5451">
      <w:pPr>
        <w:tabs>
          <w:tab w:val="left" w:pos="5060"/>
        </w:tabs>
        <w:jc w:val="center"/>
        <w:rPr>
          <w:rFonts w:cs="Arial"/>
          <w:b/>
          <w:caps/>
          <w:sz w:val="44"/>
          <w:szCs w:val="44"/>
        </w:rPr>
      </w:pPr>
      <w:r>
        <w:rPr>
          <w:rFonts w:cs="Arial"/>
          <w:b/>
          <w:caps/>
          <w:sz w:val="44"/>
          <w:szCs w:val="44"/>
        </w:rPr>
        <w:t>breach</w:t>
      </w:r>
      <w:r w:rsidR="005B61FE">
        <w:rPr>
          <w:rFonts w:cs="Arial"/>
          <w:b/>
          <w:caps/>
          <w:sz w:val="44"/>
          <w:szCs w:val="44"/>
        </w:rPr>
        <w:t xml:space="preserve">es of law  </w:t>
      </w:r>
      <w:r>
        <w:rPr>
          <w:rFonts w:cs="Arial"/>
          <w:b/>
          <w:caps/>
          <w:sz w:val="44"/>
          <w:szCs w:val="44"/>
        </w:rPr>
        <w:t>policy</w:t>
      </w:r>
    </w:p>
    <w:p w14:paraId="503F585C" w14:textId="77777777" w:rsidR="00BC4B52" w:rsidRPr="00516F0B" w:rsidRDefault="00BC4B52" w:rsidP="00BC4B52">
      <w:pPr>
        <w:tabs>
          <w:tab w:val="left" w:pos="5060"/>
        </w:tabs>
        <w:jc w:val="center"/>
        <w:rPr>
          <w:rFonts w:cs="Arial"/>
          <w:b/>
          <w:caps/>
        </w:rPr>
      </w:pPr>
    </w:p>
    <w:p w14:paraId="503F585D" w14:textId="77777777" w:rsidR="00BC4B52" w:rsidRPr="00516F0B" w:rsidRDefault="00BC4B52" w:rsidP="00BC4B52">
      <w:pPr>
        <w:tabs>
          <w:tab w:val="left" w:pos="5060"/>
        </w:tabs>
        <w:jc w:val="center"/>
        <w:rPr>
          <w:rFonts w:cs="Arial"/>
          <w:b/>
          <w:caps/>
        </w:rPr>
      </w:pPr>
    </w:p>
    <w:p w14:paraId="503F585E" w14:textId="77777777" w:rsidR="00BC4B52" w:rsidRPr="009034C2" w:rsidRDefault="00BC4B52" w:rsidP="00BC4B52">
      <w:pPr>
        <w:jc w:val="center"/>
        <w:rPr>
          <w:rFonts w:cs="Arial"/>
          <w:b/>
          <w:caps/>
          <w:highlight w:val="yellow"/>
        </w:rPr>
      </w:pPr>
      <w:r w:rsidRPr="00516F0B">
        <w:rPr>
          <w:rFonts w:cs="Arial"/>
          <w:b/>
          <w:caps/>
          <w:sz w:val="44"/>
          <w:szCs w:val="44"/>
        </w:rPr>
        <w:t>202</w:t>
      </w:r>
      <w:r w:rsidR="00516F0B" w:rsidRPr="00516F0B">
        <w:rPr>
          <w:rFonts w:cs="Arial"/>
          <w:b/>
          <w:caps/>
          <w:sz w:val="44"/>
          <w:szCs w:val="44"/>
        </w:rPr>
        <w:t>5</w:t>
      </w:r>
      <w:r w:rsidRPr="00516F0B">
        <w:rPr>
          <w:rFonts w:cs="Arial"/>
          <w:b/>
          <w:caps/>
          <w:sz w:val="44"/>
          <w:szCs w:val="44"/>
        </w:rPr>
        <w:t>-2</w:t>
      </w:r>
      <w:r w:rsidR="00516F0B" w:rsidRPr="00516F0B">
        <w:rPr>
          <w:rFonts w:cs="Arial"/>
          <w:b/>
          <w:caps/>
          <w:sz w:val="44"/>
          <w:szCs w:val="44"/>
        </w:rPr>
        <w:t>6</w:t>
      </w:r>
      <w:r w:rsidRPr="009034C2">
        <w:rPr>
          <w:rFonts w:cs="Arial"/>
          <w:b/>
          <w:caps/>
          <w:highlight w:val="yellow"/>
        </w:rPr>
        <w:br w:type="page"/>
      </w:r>
    </w:p>
    <w:p w14:paraId="503F585F" w14:textId="77777777" w:rsidR="00BC4B52" w:rsidRPr="009034C2" w:rsidRDefault="00BC4B52" w:rsidP="00BC4B52">
      <w:pPr>
        <w:tabs>
          <w:tab w:val="left" w:pos="5060"/>
        </w:tabs>
        <w:rPr>
          <w:rFonts w:cs="Arial"/>
          <w:b/>
          <w:caps/>
          <w:highlight w:val="yellow"/>
        </w:rPr>
      </w:pPr>
    </w:p>
    <w:p w14:paraId="503F5860" w14:textId="103BC902" w:rsidR="00BC4B52" w:rsidRPr="007D61AA" w:rsidRDefault="00BC4B52" w:rsidP="003C670A">
      <w:pPr>
        <w:tabs>
          <w:tab w:val="left" w:pos="5060"/>
        </w:tabs>
        <w:jc w:val="center"/>
        <w:rPr>
          <w:rFonts w:cs="Arial"/>
          <w:b/>
          <w:caps/>
          <w:sz w:val="20"/>
        </w:rPr>
      </w:pPr>
      <w:r w:rsidRPr="007D61AA">
        <w:rPr>
          <w:rFonts w:cs="Arial"/>
          <w:b/>
          <w:caps/>
          <w:sz w:val="20"/>
        </w:rPr>
        <w:t>Contents</w:t>
      </w:r>
    </w:p>
    <w:p w14:paraId="503F5861" w14:textId="464B1F09" w:rsidR="00BC4B52" w:rsidRPr="00583862" w:rsidRDefault="003C670A" w:rsidP="00BC4B52">
      <w:pPr>
        <w:tabs>
          <w:tab w:val="left" w:pos="5060"/>
        </w:tabs>
        <w:jc w:val="both"/>
        <w:rPr>
          <w:rFonts w:cs="Arial"/>
          <w:caps/>
          <w:sz w:val="20"/>
        </w:rPr>
      </w:pPr>
      <w:r>
        <w:rPr>
          <w:rFonts w:cs="Arial"/>
          <w:caps/>
          <w:sz w:val="20"/>
        </w:rPr>
        <w:tab/>
      </w:r>
    </w:p>
    <w:p w14:paraId="503F5862" w14:textId="77777777" w:rsidR="00BC4B52" w:rsidRPr="00583862" w:rsidRDefault="00BC4B52" w:rsidP="00BC4B52">
      <w:pPr>
        <w:tabs>
          <w:tab w:val="left" w:pos="5060"/>
        </w:tabs>
        <w:jc w:val="both"/>
        <w:rPr>
          <w:rFonts w:cs="Arial"/>
          <w:caps/>
          <w:sz w:val="20"/>
        </w:rPr>
      </w:pPr>
    </w:p>
    <w:p w14:paraId="406450DB" w14:textId="68C37CCA" w:rsidR="00172831" w:rsidRPr="007D61AA" w:rsidRDefault="007D61AA" w:rsidP="002A720E">
      <w:pPr>
        <w:spacing w:after="160" w:line="259" w:lineRule="auto"/>
        <w:ind w:left="284"/>
        <w:contextualSpacing/>
        <w:jc w:val="both"/>
        <w:rPr>
          <w:rFonts w:cs="Arial"/>
          <w:b/>
          <w:bCs/>
          <w:sz w:val="20"/>
        </w:rPr>
      </w:pPr>
      <w:r w:rsidRPr="007D61AA">
        <w:rPr>
          <w:rFonts w:cs="Arial"/>
          <w:b/>
          <w:bCs/>
          <w:sz w:val="20"/>
        </w:rPr>
        <w:t>Introduction</w:t>
      </w:r>
    </w:p>
    <w:p w14:paraId="4086DB1C" w14:textId="77777777" w:rsidR="00172831" w:rsidRPr="007D61AA" w:rsidRDefault="002A720E" w:rsidP="002A720E">
      <w:pPr>
        <w:spacing w:after="160" w:line="259" w:lineRule="auto"/>
        <w:ind w:left="284"/>
        <w:contextualSpacing/>
        <w:jc w:val="both"/>
        <w:rPr>
          <w:rFonts w:cs="Arial"/>
          <w:b/>
          <w:bCs/>
          <w:sz w:val="20"/>
        </w:rPr>
      </w:pPr>
      <w:r w:rsidRPr="007D61AA">
        <w:rPr>
          <w:rFonts w:cs="Arial"/>
          <w:b/>
          <w:bCs/>
          <w:sz w:val="20"/>
        </w:rPr>
        <w:t xml:space="preserve">Background </w:t>
      </w:r>
    </w:p>
    <w:p w14:paraId="3814AA76" w14:textId="77777777" w:rsidR="00172831" w:rsidRPr="007D61AA" w:rsidRDefault="002A720E" w:rsidP="002A720E">
      <w:pPr>
        <w:spacing w:after="160" w:line="259" w:lineRule="auto"/>
        <w:ind w:left="284"/>
        <w:contextualSpacing/>
        <w:jc w:val="both"/>
        <w:rPr>
          <w:rFonts w:cs="Arial"/>
          <w:b/>
          <w:bCs/>
          <w:sz w:val="20"/>
        </w:rPr>
      </w:pPr>
      <w:r w:rsidRPr="007D61AA">
        <w:rPr>
          <w:rFonts w:cs="Arial"/>
          <w:b/>
          <w:bCs/>
          <w:sz w:val="20"/>
        </w:rPr>
        <w:t xml:space="preserve">What constitutes a breach of law? </w:t>
      </w:r>
    </w:p>
    <w:p w14:paraId="4A7AD60A" w14:textId="77777777" w:rsidR="00172831" w:rsidRPr="007D61AA" w:rsidRDefault="002A720E" w:rsidP="002A720E">
      <w:pPr>
        <w:spacing w:after="160" w:line="259" w:lineRule="auto"/>
        <w:ind w:left="284"/>
        <w:contextualSpacing/>
        <w:jc w:val="both"/>
        <w:rPr>
          <w:rFonts w:cs="Arial"/>
          <w:b/>
          <w:bCs/>
          <w:sz w:val="20"/>
        </w:rPr>
      </w:pPr>
      <w:r w:rsidRPr="007D61AA">
        <w:rPr>
          <w:rFonts w:cs="Arial"/>
          <w:b/>
          <w:bCs/>
          <w:sz w:val="20"/>
        </w:rPr>
        <w:t>Who is responsible for reporting breaches of law</w:t>
      </w:r>
    </w:p>
    <w:p w14:paraId="234E8B28" w14:textId="77777777" w:rsidR="00172831" w:rsidRPr="007D61AA" w:rsidRDefault="002A720E" w:rsidP="002A720E">
      <w:pPr>
        <w:spacing w:after="160" w:line="259" w:lineRule="auto"/>
        <w:ind w:left="284"/>
        <w:contextualSpacing/>
        <w:jc w:val="both"/>
        <w:rPr>
          <w:rFonts w:cs="Arial"/>
          <w:b/>
          <w:bCs/>
          <w:sz w:val="20"/>
        </w:rPr>
      </w:pPr>
      <w:r w:rsidRPr="007D61AA">
        <w:rPr>
          <w:rFonts w:cs="Arial"/>
          <w:b/>
          <w:bCs/>
          <w:sz w:val="20"/>
        </w:rPr>
        <w:t xml:space="preserve">How are records of breaches of law maintained? </w:t>
      </w:r>
    </w:p>
    <w:p w14:paraId="0CA2DCCA" w14:textId="77777777" w:rsidR="00172831" w:rsidRPr="007D61AA" w:rsidRDefault="002A720E" w:rsidP="00172831">
      <w:pPr>
        <w:spacing w:after="160" w:line="259" w:lineRule="auto"/>
        <w:ind w:firstLine="284"/>
        <w:contextualSpacing/>
        <w:jc w:val="both"/>
        <w:rPr>
          <w:rFonts w:cs="Arial"/>
          <w:b/>
          <w:bCs/>
          <w:sz w:val="20"/>
        </w:rPr>
      </w:pPr>
      <w:r w:rsidRPr="007D61AA">
        <w:rPr>
          <w:rFonts w:cs="Arial"/>
          <w:b/>
          <w:bCs/>
          <w:sz w:val="20"/>
        </w:rPr>
        <w:t xml:space="preserve">When a breach of law may be considered reportable / material </w:t>
      </w:r>
    </w:p>
    <w:p w14:paraId="68FBD85E" w14:textId="77777777" w:rsidR="00172831" w:rsidRPr="007D61AA" w:rsidRDefault="002A720E" w:rsidP="00172831">
      <w:pPr>
        <w:spacing w:after="160" w:line="259" w:lineRule="auto"/>
        <w:ind w:firstLine="284"/>
        <w:contextualSpacing/>
        <w:jc w:val="both"/>
        <w:rPr>
          <w:rFonts w:cs="Arial"/>
          <w:b/>
          <w:bCs/>
          <w:sz w:val="20"/>
        </w:rPr>
      </w:pPr>
      <w:r w:rsidRPr="007D61AA">
        <w:rPr>
          <w:rFonts w:cs="Arial"/>
          <w:b/>
          <w:bCs/>
          <w:sz w:val="20"/>
        </w:rPr>
        <w:t xml:space="preserve">Reporting a breach of law to TPR </w:t>
      </w:r>
    </w:p>
    <w:p w14:paraId="503F5886" w14:textId="6945AF64" w:rsidR="00BC4B52" w:rsidRPr="007D61AA" w:rsidRDefault="007D61AA" w:rsidP="007D61AA">
      <w:pPr>
        <w:spacing w:after="160" w:line="259" w:lineRule="auto"/>
        <w:ind w:firstLine="284"/>
        <w:contextualSpacing/>
        <w:jc w:val="both"/>
        <w:rPr>
          <w:rFonts w:cs="Arial"/>
          <w:b/>
          <w:bCs/>
          <w:sz w:val="20"/>
        </w:rPr>
      </w:pPr>
      <w:r w:rsidRPr="007D61AA">
        <w:rPr>
          <w:rFonts w:cs="Arial"/>
          <w:b/>
          <w:bCs/>
          <w:sz w:val="20"/>
        </w:rPr>
        <w:t>W</w:t>
      </w:r>
      <w:r w:rsidR="002A720E" w:rsidRPr="007D61AA">
        <w:rPr>
          <w:rFonts w:cs="Arial"/>
          <w:b/>
          <w:bCs/>
          <w:sz w:val="20"/>
        </w:rPr>
        <w:t xml:space="preserve">histleblowing </w:t>
      </w:r>
    </w:p>
    <w:p w14:paraId="44CB7B07" w14:textId="77777777" w:rsidR="007D61AA" w:rsidRDefault="007D61AA" w:rsidP="007D61AA">
      <w:pPr>
        <w:spacing w:after="160" w:line="259" w:lineRule="auto"/>
        <w:ind w:firstLine="284"/>
        <w:contextualSpacing/>
        <w:jc w:val="both"/>
        <w:rPr>
          <w:rFonts w:cs="Arial"/>
          <w:sz w:val="20"/>
        </w:rPr>
      </w:pPr>
    </w:p>
    <w:p w14:paraId="7764CCDA" w14:textId="77777777" w:rsidR="003C670A" w:rsidRDefault="003C670A" w:rsidP="007D61AA">
      <w:pPr>
        <w:spacing w:after="160" w:line="259" w:lineRule="auto"/>
        <w:ind w:firstLine="284"/>
        <w:contextualSpacing/>
        <w:jc w:val="both"/>
        <w:rPr>
          <w:rFonts w:cs="Arial"/>
          <w:sz w:val="20"/>
        </w:rPr>
      </w:pPr>
    </w:p>
    <w:p w14:paraId="1B155100" w14:textId="77777777" w:rsidR="003C670A" w:rsidRDefault="003C670A" w:rsidP="007D61AA">
      <w:pPr>
        <w:spacing w:after="160" w:line="259" w:lineRule="auto"/>
        <w:ind w:firstLine="284"/>
        <w:contextualSpacing/>
        <w:jc w:val="both"/>
        <w:rPr>
          <w:rFonts w:cs="Arial"/>
          <w:sz w:val="20"/>
        </w:rPr>
      </w:pPr>
    </w:p>
    <w:p w14:paraId="412276A1" w14:textId="77777777" w:rsidR="003C670A" w:rsidRDefault="003C670A" w:rsidP="007D61AA">
      <w:pPr>
        <w:spacing w:after="160" w:line="259" w:lineRule="auto"/>
        <w:ind w:firstLine="284"/>
        <w:contextualSpacing/>
        <w:jc w:val="both"/>
        <w:rPr>
          <w:rFonts w:cs="Arial"/>
          <w:sz w:val="20"/>
        </w:rPr>
      </w:pPr>
    </w:p>
    <w:p w14:paraId="14F05342" w14:textId="77777777" w:rsidR="003C670A" w:rsidRDefault="003C670A" w:rsidP="007D61AA">
      <w:pPr>
        <w:spacing w:after="160" w:line="259" w:lineRule="auto"/>
        <w:ind w:firstLine="284"/>
        <w:contextualSpacing/>
        <w:jc w:val="both"/>
        <w:rPr>
          <w:rFonts w:cs="Arial"/>
          <w:sz w:val="20"/>
        </w:rPr>
      </w:pPr>
    </w:p>
    <w:p w14:paraId="191F6985" w14:textId="77777777" w:rsidR="003C670A" w:rsidRDefault="003C670A" w:rsidP="007D61AA">
      <w:pPr>
        <w:spacing w:after="160" w:line="259" w:lineRule="auto"/>
        <w:ind w:firstLine="284"/>
        <w:contextualSpacing/>
        <w:jc w:val="both"/>
        <w:rPr>
          <w:rFonts w:cs="Arial"/>
          <w:sz w:val="20"/>
        </w:rPr>
      </w:pPr>
    </w:p>
    <w:p w14:paraId="11B50D6B" w14:textId="77777777" w:rsidR="003C670A" w:rsidRDefault="003C670A" w:rsidP="007D61AA">
      <w:pPr>
        <w:spacing w:after="160" w:line="259" w:lineRule="auto"/>
        <w:ind w:firstLine="284"/>
        <w:contextualSpacing/>
        <w:jc w:val="both"/>
        <w:rPr>
          <w:rFonts w:cs="Arial"/>
          <w:sz w:val="20"/>
        </w:rPr>
      </w:pPr>
    </w:p>
    <w:p w14:paraId="7D94649A" w14:textId="77777777" w:rsidR="003C670A" w:rsidRDefault="003C670A" w:rsidP="007D61AA">
      <w:pPr>
        <w:spacing w:after="160" w:line="259" w:lineRule="auto"/>
        <w:ind w:firstLine="284"/>
        <w:contextualSpacing/>
        <w:jc w:val="both"/>
        <w:rPr>
          <w:rFonts w:cs="Arial"/>
          <w:sz w:val="20"/>
        </w:rPr>
      </w:pPr>
    </w:p>
    <w:p w14:paraId="176AB54F" w14:textId="77777777" w:rsidR="003C670A" w:rsidRDefault="003C670A" w:rsidP="007D61AA">
      <w:pPr>
        <w:spacing w:after="160" w:line="259" w:lineRule="auto"/>
        <w:ind w:firstLine="284"/>
        <w:contextualSpacing/>
        <w:jc w:val="both"/>
        <w:rPr>
          <w:rFonts w:cs="Arial"/>
          <w:sz w:val="20"/>
        </w:rPr>
      </w:pPr>
    </w:p>
    <w:p w14:paraId="50DF411C" w14:textId="77777777" w:rsidR="003C670A" w:rsidRDefault="003C670A" w:rsidP="007D61AA">
      <w:pPr>
        <w:spacing w:after="160" w:line="259" w:lineRule="auto"/>
        <w:ind w:firstLine="284"/>
        <w:contextualSpacing/>
        <w:jc w:val="both"/>
        <w:rPr>
          <w:rFonts w:cs="Arial"/>
          <w:sz w:val="20"/>
        </w:rPr>
      </w:pPr>
    </w:p>
    <w:p w14:paraId="4878F355" w14:textId="77777777" w:rsidR="003C670A" w:rsidRDefault="003C670A" w:rsidP="007D61AA">
      <w:pPr>
        <w:spacing w:after="160" w:line="259" w:lineRule="auto"/>
        <w:ind w:firstLine="284"/>
        <w:contextualSpacing/>
        <w:jc w:val="both"/>
        <w:rPr>
          <w:rFonts w:cs="Arial"/>
          <w:sz w:val="20"/>
        </w:rPr>
      </w:pPr>
    </w:p>
    <w:p w14:paraId="3EB9B1A8" w14:textId="77777777" w:rsidR="003C670A" w:rsidRDefault="003C670A" w:rsidP="007D61AA">
      <w:pPr>
        <w:spacing w:after="160" w:line="259" w:lineRule="auto"/>
        <w:ind w:firstLine="284"/>
        <w:contextualSpacing/>
        <w:jc w:val="both"/>
        <w:rPr>
          <w:rFonts w:cs="Arial"/>
          <w:sz w:val="20"/>
        </w:rPr>
      </w:pPr>
    </w:p>
    <w:p w14:paraId="000E49B6" w14:textId="77777777" w:rsidR="003C670A" w:rsidRDefault="003C670A" w:rsidP="007D61AA">
      <w:pPr>
        <w:spacing w:after="160" w:line="259" w:lineRule="auto"/>
        <w:ind w:firstLine="284"/>
        <w:contextualSpacing/>
        <w:jc w:val="both"/>
        <w:rPr>
          <w:rFonts w:cs="Arial"/>
          <w:sz w:val="20"/>
        </w:rPr>
      </w:pPr>
    </w:p>
    <w:p w14:paraId="7342FB57" w14:textId="77777777" w:rsidR="003C670A" w:rsidRDefault="003C670A" w:rsidP="007D61AA">
      <w:pPr>
        <w:spacing w:after="160" w:line="259" w:lineRule="auto"/>
        <w:ind w:firstLine="284"/>
        <w:contextualSpacing/>
        <w:jc w:val="both"/>
        <w:rPr>
          <w:rFonts w:cs="Arial"/>
          <w:sz w:val="20"/>
        </w:rPr>
      </w:pPr>
    </w:p>
    <w:p w14:paraId="08BAB080" w14:textId="77777777" w:rsidR="003C670A" w:rsidRDefault="003C670A" w:rsidP="007D61AA">
      <w:pPr>
        <w:spacing w:after="160" w:line="259" w:lineRule="auto"/>
        <w:ind w:firstLine="284"/>
        <w:contextualSpacing/>
        <w:jc w:val="both"/>
        <w:rPr>
          <w:rFonts w:cs="Arial"/>
          <w:sz w:val="20"/>
        </w:rPr>
      </w:pPr>
    </w:p>
    <w:p w14:paraId="325796F9" w14:textId="77777777" w:rsidR="003C670A" w:rsidRDefault="003C670A" w:rsidP="007D61AA">
      <w:pPr>
        <w:spacing w:after="160" w:line="259" w:lineRule="auto"/>
        <w:ind w:firstLine="284"/>
        <w:contextualSpacing/>
        <w:jc w:val="both"/>
        <w:rPr>
          <w:rFonts w:cs="Arial"/>
          <w:sz w:val="20"/>
        </w:rPr>
      </w:pPr>
    </w:p>
    <w:p w14:paraId="06FF5515" w14:textId="77777777" w:rsidR="003C670A" w:rsidRDefault="003C670A" w:rsidP="007D61AA">
      <w:pPr>
        <w:spacing w:after="160" w:line="259" w:lineRule="auto"/>
        <w:ind w:firstLine="284"/>
        <w:contextualSpacing/>
        <w:jc w:val="both"/>
        <w:rPr>
          <w:rFonts w:cs="Arial"/>
          <w:sz w:val="20"/>
        </w:rPr>
      </w:pPr>
    </w:p>
    <w:p w14:paraId="33D93FC7" w14:textId="77777777" w:rsidR="003C670A" w:rsidRDefault="003C670A" w:rsidP="007D61AA">
      <w:pPr>
        <w:spacing w:after="160" w:line="259" w:lineRule="auto"/>
        <w:ind w:firstLine="284"/>
        <w:contextualSpacing/>
        <w:jc w:val="both"/>
        <w:rPr>
          <w:rFonts w:cs="Arial"/>
          <w:sz w:val="20"/>
        </w:rPr>
      </w:pPr>
    </w:p>
    <w:p w14:paraId="66727C94" w14:textId="77777777" w:rsidR="003C670A" w:rsidRDefault="003C670A" w:rsidP="007D61AA">
      <w:pPr>
        <w:spacing w:after="160" w:line="259" w:lineRule="auto"/>
        <w:ind w:firstLine="284"/>
        <w:contextualSpacing/>
        <w:jc w:val="both"/>
        <w:rPr>
          <w:rFonts w:cs="Arial"/>
          <w:sz w:val="20"/>
        </w:rPr>
      </w:pPr>
    </w:p>
    <w:p w14:paraId="247C25CB" w14:textId="77777777" w:rsidR="003C670A" w:rsidRDefault="003C670A" w:rsidP="007D61AA">
      <w:pPr>
        <w:spacing w:after="160" w:line="259" w:lineRule="auto"/>
        <w:ind w:firstLine="284"/>
        <w:contextualSpacing/>
        <w:jc w:val="both"/>
        <w:rPr>
          <w:rFonts w:cs="Arial"/>
          <w:sz w:val="20"/>
        </w:rPr>
      </w:pPr>
    </w:p>
    <w:p w14:paraId="4851AA4F" w14:textId="77777777" w:rsidR="003C670A" w:rsidRDefault="003C670A" w:rsidP="007D61AA">
      <w:pPr>
        <w:spacing w:after="160" w:line="259" w:lineRule="auto"/>
        <w:ind w:firstLine="284"/>
        <w:contextualSpacing/>
        <w:jc w:val="both"/>
        <w:rPr>
          <w:rFonts w:cs="Arial"/>
          <w:sz w:val="20"/>
        </w:rPr>
      </w:pPr>
    </w:p>
    <w:p w14:paraId="076697F6" w14:textId="77777777" w:rsidR="003C670A" w:rsidRDefault="003C670A" w:rsidP="007D61AA">
      <w:pPr>
        <w:spacing w:after="160" w:line="259" w:lineRule="auto"/>
        <w:ind w:firstLine="284"/>
        <w:contextualSpacing/>
        <w:jc w:val="both"/>
        <w:rPr>
          <w:rFonts w:cs="Arial"/>
          <w:sz w:val="20"/>
        </w:rPr>
      </w:pPr>
    </w:p>
    <w:p w14:paraId="0E878448" w14:textId="77777777" w:rsidR="003C670A" w:rsidRDefault="003C670A" w:rsidP="007D61AA">
      <w:pPr>
        <w:spacing w:after="160" w:line="259" w:lineRule="auto"/>
        <w:ind w:firstLine="284"/>
        <w:contextualSpacing/>
        <w:jc w:val="both"/>
        <w:rPr>
          <w:rFonts w:cs="Arial"/>
          <w:sz w:val="20"/>
        </w:rPr>
      </w:pPr>
    </w:p>
    <w:p w14:paraId="5FE267DA" w14:textId="77777777" w:rsidR="003C670A" w:rsidRDefault="003C670A" w:rsidP="007D61AA">
      <w:pPr>
        <w:spacing w:after="160" w:line="259" w:lineRule="auto"/>
        <w:ind w:firstLine="284"/>
        <w:contextualSpacing/>
        <w:jc w:val="both"/>
        <w:rPr>
          <w:rFonts w:cs="Arial"/>
          <w:sz w:val="20"/>
        </w:rPr>
      </w:pPr>
    </w:p>
    <w:p w14:paraId="03B0601E" w14:textId="77777777" w:rsidR="003C670A" w:rsidRDefault="003C670A" w:rsidP="007D61AA">
      <w:pPr>
        <w:spacing w:after="160" w:line="259" w:lineRule="auto"/>
        <w:ind w:firstLine="284"/>
        <w:contextualSpacing/>
        <w:jc w:val="both"/>
        <w:rPr>
          <w:rFonts w:cs="Arial"/>
          <w:sz w:val="20"/>
        </w:rPr>
      </w:pPr>
    </w:p>
    <w:p w14:paraId="3BC56BAA" w14:textId="77777777" w:rsidR="003C670A" w:rsidRDefault="003C670A" w:rsidP="007D61AA">
      <w:pPr>
        <w:spacing w:after="160" w:line="259" w:lineRule="auto"/>
        <w:ind w:firstLine="284"/>
        <w:contextualSpacing/>
        <w:jc w:val="both"/>
        <w:rPr>
          <w:rFonts w:cs="Arial"/>
          <w:sz w:val="20"/>
        </w:rPr>
      </w:pPr>
    </w:p>
    <w:p w14:paraId="2D225515" w14:textId="77777777" w:rsidR="003C670A" w:rsidRDefault="003C670A" w:rsidP="007D61AA">
      <w:pPr>
        <w:spacing w:after="160" w:line="259" w:lineRule="auto"/>
        <w:ind w:firstLine="284"/>
        <w:contextualSpacing/>
        <w:jc w:val="both"/>
        <w:rPr>
          <w:rFonts w:cs="Arial"/>
          <w:sz w:val="20"/>
        </w:rPr>
      </w:pPr>
    </w:p>
    <w:p w14:paraId="7F11A037" w14:textId="77777777" w:rsidR="003C670A" w:rsidRDefault="003C670A" w:rsidP="007D61AA">
      <w:pPr>
        <w:spacing w:after="160" w:line="259" w:lineRule="auto"/>
        <w:ind w:firstLine="284"/>
        <w:contextualSpacing/>
        <w:jc w:val="both"/>
        <w:rPr>
          <w:rFonts w:cs="Arial"/>
          <w:sz w:val="20"/>
        </w:rPr>
      </w:pPr>
    </w:p>
    <w:p w14:paraId="42C1EE21" w14:textId="77777777" w:rsidR="003C670A" w:rsidRDefault="003C670A" w:rsidP="007D61AA">
      <w:pPr>
        <w:spacing w:after="160" w:line="259" w:lineRule="auto"/>
        <w:ind w:firstLine="284"/>
        <w:contextualSpacing/>
        <w:jc w:val="both"/>
        <w:rPr>
          <w:rFonts w:cs="Arial"/>
          <w:sz w:val="20"/>
        </w:rPr>
      </w:pPr>
    </w:p>
    <w:p w14:paraId="3DA554DA" w14:textId="77777777" w:rsidR="003C670A" w:rsidRDefault="003C670A" w:rsidP="007D61AA">
      <w:pPr>
        <w:spacing w:after="160" w:line="259" w:lineRule="auto"/>
        <w:ind w:firstLine="284"/>
        <w:contextualSpacing/>
        <w:jc w:val="both"/>
        <w:rPr>
          <w:rFonts w:cs="Arial"/>
          <w:sz w:val="20"/>
        </w:rPr>
      </w:pPr>
    </w:p>
    <w:p w14:paraId="5DE652EA" w14:textId="77777777" w:rsidR="003C670A" w:rsidRDefault="003C670A" w:rsidP="007D61AA">
      <w:pPr>
        <w:spacing w:after="160" w:line="259" w:lineRule="auto"/>
        <w:ind w:firstLine="284"/>
        <w:contextualSpacing/>
        <w:jc w:val="both"/>
        <w:rPr>
          <w:rFonts w:cs="Arial"/>
          <w:sz w:val="20"/>
        </w:rPr>
      </w:pPr>
    </w:p>
    <w:p w14:paraId="0D553C1E" w14:textId="77777777" w:rsidR="003C670A" w:rsidRDefault="003C670A" w:rsidP="007D61AA">
      <w:pPr>
        <w:spacing w:after="160" w:line="259" w:lineRule="auto"/>
        <w:ind w:firstLine="284"/>
        <w:contextualSpacing/>
        <w:jc w:val="both"/>
        <w:rPr>
          <w:rFonts w:cs="Arial"/>
          <w:sz w:val="20"/>
        </w:rPr>
      </w:pPr>
    </w:p>
    <w:p w14:paraId="2585EB7E" w14:textId="77777777" w:rsidR="003C670A" w:rsidRDefault="003C670A" w:rsidP="007D61AA">
      <w:pPr>
        <w:spacing w:after="160" w:line="259" w:lineRule="auto"/>
        <w:ind w:firstLine="284"/>
        <w:contextualSpacing/>
        <w:jc w:val="both"/>
        <w:rPr>
          <w:rFonts w:cs="Arial"/>
          <w:sz w:val="20"/>
        </w:rPr>
      </w:pPr>
    </w:p>
    <w:p w14:paraId="4FAB28E9" w14:textId="77777777" w:rsidR="003C670A" w:rsidRDefault="003C670A" w:rsidP="007D61AA">
      <w:pPr>
        <w:spacing w:after="160" w:line="259" w:lineRule="auto"/>
        <w:ind w:firstLine="284"/>
        <w:contextualSpacing/>
        <w:jc w:val="both"/>
        <w:rPr>
          <w:rFonts w:cs="Arial"/>
          <w:sz w:val="20"/>
        </w:rPr>
      </w:pPr>
    </w:p>
    <w:p w14:paraId="5844B722" w14:textId="77777777" w:rsidR="003C670A" w:rsidRDefault="003C670A" w:rsidP="007D61AA">
      <w:pPr>
        <w:spacing w:after="160" w:line="259" w:lineRule="auto"/>
        <w:ind w:firstLine="284"/>
        <w:contextualSpacing/>
        <w:jc w:val="both"/>
        <w:rPr>
          <w:rFonts w:cs="Arial"/>
          <w:sz w:val="20"/>
        </w:rPr>
      </w:pPr>
    </w:p>
    <w:p w14:paraId="311D0E3A" w14:textId="77777777" w:rsidR="003C670A" w:rsidRDefault="003C670A" w:rsidP="007D61AA">
      <w:pPr>
        <w:spacing w:after="160" w:line="259" w:lineRule="auto"/>
        <w:ind w:firstLine="284"/>
        <w:contextualSpacing/>
        <w:jc w:val="both"/>
        <w:rPr>
          <w:rFonts w:cs="Arial"/>
          <w:sz w:val="20"/>
        </w:rPr>
      </w:pPr>
    </w:p>
    <w:p w14:paraId="1749377A" w14:textId="77777777" w:rsidR="003C670A" w:rsidRDefault="003C670A" w:rsidP="007D61AA">
      <w:pPr>
        <w:spacing w:after="160" w:line="259" w:lineRule="auto"/>
        <w:ind w:firstLine="284"/>
        <w:contextualSpacing/>
        <w:jc w:val="both"/>
        <w:rPr>
          <w:rFonts w:cs="Arial"/>
          <w:sz w:val="20"/>
        </w:rPr>
      </w:pPr>
    </w:p>
    <w:p w14:paraId="70EA9D91" w14:textId="77777777" w:rsidR="003C670A" w:rsidRDefault="003C670A" w:rsidP="007D61AA">
      <w:pPr>
        <w:spacing w:after="160" w:line="259" w:lineRule="auto"/>
        <w:ind w:firstLine="284"/>
        <w:contextualSpacing/>
        <w:jc w:val="both"/>
        <w:rPr>
          <w:rFonts w:cs="Arial"/>
          <w:sz w:val="20"/>
        </w:rPr>
      </w:pPr>
    </w:p>
    <w:p w14:paraId="1F07E62D" w14:textId="77777777" w:rsidR="003C670A" w:rsidRDefault="003C670A" w:rsidP="007D61AA">
      <w:pPr>
        <w:spacing w:after="160" w:line="259" w:lineRule="auto"/>
        <w:ind w:firstLine="284"/>
        <w:contextualSpacing/>
        <w:jc w:val="both"/>
        <w:rPr>
          <w:rFonts w:cs="Arial"/>
          <w:sz w:val="20"/>
        </w:rPr>
      </w:pPr>
    </w:p>
    <w:p w14:paraId="252E57D6" w14:textId="77777777" w:rsidR="003C670A" w:rsidRDefault="003C670A" w:rsidP="007D61AA">
      <w:pPr>
        <w:spacing w:after="160" w:line="259" w:lineRule="auto"/>
        <w:ind w:firstLine="284"/>
        <w:contextualSpacing/>
        <w:jc w:val="both"/>
        <w:rPr>
          <w:rFonts w:cs="Arial"/>
          <w:sz w:val="20"/>
        </w:rPr>
      </w:pPr>
    </w:p>
    <w:p w14:paraId="73812FFE" w14:textId="77777777" w:rsidR="003C670A" w:rsidRDefault="003C670A" w:rsidP="007D61AA">
      <w:pPr>
        <w:spacing w:after="160" w:line="259" w:lineRule="auto"/>
        <w:ind w:firstLine="284"/>
        <w:contextualSpacing/>
        <w:jc w:val="both"/>
        <w:rPr>
          <w:rFonts w:cs="Arial"/>
          <w:sz w:val="20"/>
        </w:rPr>
      </w:pPr>
    </w:p>
    <w:p w14:paraId="2EC2F862" w14:textId="77777777" w:rsidR="003C670A" w:rsidRDefault="003C670A" w:rsidP="007D61AA">
      <w:pPr>
        <w:spacing w:after="160" w:line="259" w:lineRule="auto"/>
        <w:ind w:firstLine="284"/>
        <w:contextualSpacing/>
        <w:jc w:val="both"/>
        <w:rPr>
          <w:rFonts w:cs="Arial"/>
          <w:sz w:val="20"/>
        </w:rPr>
      </w:pPr>
    </w:p>
    <w:p w14:paraId="39A1693C" w14:textId="77777777" w:rsidR="003C670A" w:rsidRDefault="003C670A" w:rsidP="007D61AA">
      <w:pPr>
        <w:spacing w:after="160" w:line="259" w:lineRule="auto"/>
        <w:ind w:firstLine="284"/>
        <w:contextualSpacing/>
        <w:jc w:val="both"/>
        <w:rPr>
          <w:rFonts w:cs="Arial"/>
          <w:sz w:val="20"/>
        </w:rPr>
      </w:pPr>
    </w:p>
    <w:p w14:paraId="6EA6C8C2" w14:textId="77777777" w:rsidR="003C670A" w:rsidRDefault="003C670A" w:rsidP="007D61AA">
      <w:pPr>
        <w:spacing w:after="160" w:line="259" w:lineRule="auto"/>
        <w:ind w:firstLine="284"/>
        <w:contextualSpacing/>
        <w:jc w:val="both"/>
        <w:rPr>
          <w:rFonts w:cs="Arial"/>
          <w:sz w:val="20"/>
        </w:rPr>
      </w:pPr>
    </w:p>
    <w:p w14:paraId="71943254" w14:textId="77777777" w:rsidR="003C670A" w:rsidRDefault="003C670A" w:rsidP="007D61AA">
      <w:pPr>
        <w:spacing w:after="160" w:line="259" w:lineRule="auto"/>
        <w:ind w:firstLine="284"/>
        <w:contextualSpacing/>
        <w:jc w:val="both"/>
        <w:rPr>
          <w:rFonts w:cs="Arial"/>
          <w:sz w:val="20"/>
        </w:rPr>
      </w:pPr>
    </w:p>
    <w:p w14:paraId="7C06EAF3" w14:textId="4F2EF3F9" w:rsidR="007D61AA" w:rsidRPr="00DC5A75" w:rsidRDefault="003C670A" w:rsidP="007D61AA">
      <w:pPr>
        <w:spacing w:after="160" w:line="259" w:lineRule="auto"/>
        <w:ind w:firstLine="284"/>
        <w:contextualSpacing/>
        <w:jc w:val="both"/>
        <w:rPr>
          <w:rFonts w:cs="Arial"/>
          <w:b/>
          <w:bCs/>
          <w:color w:val="000000"/>
          <w:sz w:val="20"/>
          <w:lang w:eastAsia="en-GB"/>
        </w:rPr>
      </w:pPr>
      <w:r>
        <w:rPr>
          <w:rFonts w:cs="Arial"/>
          <w:b/>
          <w:bCs/>
          <w:color w:val="000000"/>
          <w:sz w:val="20"/>
          <w:lang w:eastAsia="en-GB"/>
        </w:rPr>
        <w:t>I</w:t>
      </w:r>
      <w:r w:rsidR="00DC5A75" w:rsidRPr="00DC5A75">
        <w:rPr>
          <w:rFonts w:cs="Arial"/>
          <w:b/>
          <w:bCs/>
          <w:color w:val="000000"/>
          <w:sz w:val="20"/>
          <w:lang w:eastAsia="en-GB"/>
        </w:rPr>
        <w:t>ntroduction</w:t>
      </w:r>
    </w:p>
    <w:p w14:paraId="05F66911" w14:textId="77777777" w:rsidR="00DE6F88" w:rsidRDefault="00DE6F88" w:rsidP="009E5B00">
      <w:pPr>
        <w:spacing w:after="160" w:line="259" w:lineRule="auto"/>
        <w:ind w:firstLine="284"/>
        <w:contextualSpacing/>
        <w:jc w:val="both"/>
        <w:rPr>
          <w:rFonts w:cs="Arial"/>
          <w:color w:val="000000"/>
          <w:sz w:val="20"/>
          <w:lang w:eastAsia="en-GB"/>
        </w:rPr>
      </w:pPr>
    </w:p>
    <w:p w14:paraId="238949EB" w14:textId="38D5D658" w:rsidR="00DE6F88" w:rsidRPr="00DE6F88" w:rsidRDefault="00DE6F88" w:rsidP="00862EEA">
      <w:pPr>
        <w:spacing w:after="160" w:line="259" w:lineRule="auto"/>
        <w:ind w:left="284"/>
        <w:contextualSpacing/>
        <w:jc w:val="both"/>
        <w:rPr>
          <w:rFonts w:cs="Arial"/>
          <w:color w:val="000000"/>
          <w:sz w:val="20"/>
          <w:lang w:eastAsia="en-GB"/>
        </w:rPr>
      </w:pPr>
      <w:r w:rsidRPr="00DE6F88">
        <w:rPr>
          <w:rFonts w:cs="Arial"/>
          <w:color w:val="000000"/>
          <w:sz w:val="20"/>
          <w:lang w:eastAsia="en-GB"/>
        </w:rPr>
        <w:t>When a legal requirement is not met, it is essential that we respond appropriately and in full compliance with our obligations. To support this, we have established a Breaches of Law Policy.</w:t>
      </w:r>
    </w:p>
    <w:p w14:paraId="64E56F3F" w14:textId="77777777" w:rsidR="00DE6F88" w:rsidRPr="00DE6F88" w:rsidRDefault="00DE6F88" w:rsidP="00DE6F88">
      <w:pPr>
        <w:spacing w:after="160" w:line="259" w:lineRule="auto"/>
        <w:ind w:firstLine="284"/>
        <w:contextualSpacing/>
        <w:jc w:val="both"/>
        <w:rPr>
          <w:rFonts w:cs="Arial"/>
          <w:color w:val="000000"/>
          <w:sz w:val="20"/>
          <w:lang w:eastAsia="en-GB"/>
        </w:rPr>
      </w:pPr>
    </w:p>
    <w:p w14:paraId="50E9AA8A" w14:textId="77777777" w:rsidR="00DE6F88" w:rsidRPr="00DE6F88" w:rsidRDefault="00DE6F88" w:rsidP="00862EEA">
      <w:pPr>
        <w:spacing w:after="160" w:line="259" w:lineRule="auto"/>
        <w:ind w:left="284"/>
        <w:contextualSpacing/>
        <w:jc w:val="both"/>
        <w:rPr>
          <w:rFonts w:cs="Arial"/>
          <w:color w:val="000000"/>
          <w:sz w:val="20"/>
          <w:lang w:eastAsia="en-GB"/>
        </w:rPr>
      </w:pPr>
      <w:r w:rsidRPr="00DE6F88">
        <w:rPr>
          <w:rFonts w:cs="Arial"/>
          <w:color w:val="000000"/>
          <w:sz w:val="20"/>
          <w:lang w:eastAsia="en-GB"/>
        </w:rPr>
        <w:t>This policy is communicated to both our internal teams and external employers, making it clear that any deviation from expected legal or procedural standards must be reported without delay.</w:t>
      </w:r>
    </w:p>
    <w:p w14:paraId="2F404421" w14:textId="77777777" w:rsidR="00DE6F88" w:rsidRPr="00DE6F88" w:rsidRDefault="00DE6F88" w:rsidP="00DE6F88">
      <w:pPr>
        <w:spacing w:after="160" w:line="259" w:lineRule="auto"/>
        <w:ind w:firstLine="284"/>
        <w:contextualSpacing/>
        <w:jc w:val="both"/>
        <w:rPr>
          <w:rFonts w:cs="Arial"/>
          <w:color w:val="000000"/>
          <w:sz w:val="20"/>
          <w:lang w:eastAsia="en-GB"/>
        </w:rPr>
      </w:pPr>
    </w:p>
    <w:p w14:paraId="22A2BC61" w14:textId="0FCE1EB1" w:rsidR="00DE6F88" w:rsidRPr="00DC5A75" w:rsidRDefault="00DE6F88" w:rsidP="00E25BF5">
      <w:pPr>
        <w:spacing w:after="160" w:line="259" w:lineRule="auto"/>
        <w:ind w:left="284"/>
        <w:contextualSpacing/>
        <w:jc w:val="both"/>
        <w:rPr>
          <w:rFonts w:cs="Arial"/>
          <w:color w:val="000000"/>
          <w:sz w:val="20"/>
          <w:lang w:eastAsia="en-GB"/>
        </w:rPr>
      </w:pPr>
      <w:r w:rsidRPr="00DE6F88">
        <w:rPr>
          <w:rFonts w:cs="Arial"/>
          <w:color w:val="000000"/>
          <w:sz w:val="20"/>
          <w:lang w:eastAsia="en-GB"/>
        </w:rPr>
        <w:t xml:space="preserve">In the event of a suspected breach, the </w:t>
      </w:r>
      <w:r w:rsidR="00A73301" w:rsidRPr="00A73301">
        <w:rPr>
          <w:rFonts w:cs="Arial"/>
          <w:color w:val="000000"/>
          <w:sz w:val="20"/>
          <w:lang w:eastAsia="en-GB"/>
        </w:rPr>
        <w:t>Systems / Process Analyst (Pensions)</w:t>
      </w:r>
      <w:r w:rsidR="00C2109F">
        <w:rPr>
          <w:rFonts w:cs="Arial"/>
          <w:color w:val="000000"/>
          <w:sz w:val="20"/>
          <w:lang w:eastAsia="en-GB"/>
        </w:rPr>
        <w:t xml:space="preserve"> </w:t>
      </w:r>
      <w:r w:rsidRPr="00DE6F88">
        <w:rPr>
          <w:rFonts w:cs="Arial"/>
          <w:color w:val="000000"/>
          <w:sz w:val="20"/>
          <w:lang w:eastAsia="en-GB"/>
        </w:rPr>
        <w:t>should be notified via email. Upon receiving the report, the</w:t>
      </w:r>
      <w:r w:rsidR="00C2109F">
        <w:rPr>
          <w:rFonts w:cs="Arial"/>
          <w:color w:val="000000"/>
          <w:sz w:val="20"/>
          <w:lang w:eastAsia="en-GB"/>
        </w:rPr>
        <w:t>y</w:t>
      </w:r>
      <w:r w:rsidRPr="00DE6F88">
        <w:rPr>
          <w:rFonts w:cs="Arial"/>
          <w:color w:val="000000"/>
          <w:sz w:val="20"/>
          <w:lang w:eastAsia="en-GB"/>
        </w:rPr>
        <w:t xml:space="preserve"> will engage the </w:t>
      </w:r>
      <w:r w:rsidR="00BD7B69">
        <w:rPr>
          <w:rFonts w:cs="Arial"/>
          <w:color w:val="000000"/>
          <w:sz w:val="20"/>
          <w:lang w:eastAsia="en-GB"/>
        </w:rPr>
        <w:t>Pension Scheme Manager</w:t>
      </w:r>
      <w:r w:rsidR="00F44377">
        <w:rPr>
          <w:rFonts w:cs="Arial"/>
          <w:color w:val="000000"/>
          <w:sz w:val="20"/>
          <w:lang w:eastAsia="en-GB"/>
        </w:rPr>
        <w:t xml:space="preserve"> </w:t>
      </w:r>
      <w:r w:rsidR="00D0693C">
        <w:rPr>
          <w:rFonts w:cs="Arial"/>
          <w:color w:val="000000"/>
          <w:sz w:val="20"/>
          <w:lang w:eastAsia="en-GB"/>
        </w:rPr>
        <w:t xml:space="preserve">and any other </w:t>
      </w:r>
      <w:r w:rsidRPr="00DE6F88">
        <w:rPr>
          <w:rFonts w:cs="Arial"/>
          <w:color w:val="000000"/>
          <w:sz w:val="20"/>
          <w:lang w:eastAsia="en-GB"/>
        </w:rPr>
        <w:t>relevant officers</w:t>
      </w:r>
      <w:r w:rsidR="00C2109F">
        <w:rPr>
          <w:rFonts w:cs="Arial"/>
          <w:color w:val="000000"/>
          <w:sz w:val="20"/>
          <w:lang w:eastAsia="en-GB"/>
        </w:rPr>
        <w:t xml:space="preserve"> (</w:t>
      </w:r>
      <w:r w:rsidRPr="00DE6F88">
        <w:rPr>
          <w:rFonts w:cs="Arial"/>
          <w:color w:val="000000"/>
          <w:sz w:val="20"/>
          <w:lang w:eastAsia="en-GB"/>
        </w:rPr>
        <w:t>depending on the nature and context of the issue</w:t>
      </w:r>
      <w:r w:rsidR="00C2109F">
        <w:rPr>
          <w:rFonts w:cs="Arial"/>
          <w:color w:val="000000"/>
          <w:sz w:val="20"/>
          <w:lang w:eastAsia="en-GB"/>
        </w:rPr>
        <w:t xml:space="preserve">) </w:t>
      </w:r>
      <w:r w:rsidRPr="00DE6F88">
        <w:rPr>
          <w:rFonts w:cs="Arial"/>
          <w:color w:val="000000"/>
          <w:sz w:val="20"/>
          <w:lang w:eastAsia="en-GB"/>
        </w:rPr>
        <w:t>to investigate the matter in accordance with The Pensions Regulator’s (TPR) guidance. This includes applying TPR’s traffic light framework to assess the severity and implications of the breach.</w:t>
      </w:r>
      <w:r w:rsidR="00E25BF5">
        <w:rPr>
          <w:rFonts w:cs="Arial"/>
          <w:color w:val="000000"/>
          <w:sz w:val="20"/>
          <w:lang w:eastAsia="en-GB"/>
        </w:rPr>
        <w:t xml:space="preserve">  </w:t>
      </w:r>
      <w:r w:rsidRPr="00DE6F88">
        <w:rPr>
          <w:rFonts w:cs="Arial"/>
          <w:color w:val="000000"/>
          <w:sz w:val="20"/>
          <w:lang w:eastAsia="en-GB"/>
        </w:rPr>
        <w:t xml:space="preserve">Where </w:t>
      </w:r>
      <w:r w:rsidRPr="00DC5A75">
        <w:rPr>
          <w:rFonts w:cs="Arial"/>
          <w:color w:val="000000"/>
          <w:sz w:val="20"/>
          <w:lang w:eastAsia="en-GB"/>
        </w:rPr>
        <w:t>appropriate, updates will be provided to the Pension Board and the Pensions Committee.</w:t>
      </w:r>
    </w:p>
    <w:p w14:paraId="1F822825" w14:textId="77777777" w:rsidR="003D63FA" w:rsidRPr="003D63FA" w:rsidRDefault="003D63FA" w:rsidP="00E25BF5">
      <w:pPr>
        <w:spacing w:after="160" w:line="259" w:lineRule="auto"/>
        <w:ind w:left="284"/>
        <w:contextualSpacing/>
        <w:jc w:val="both"/>
        <w:rPr>
          <w:rFonts w:cs="Arial"/>
          <w:b/>
          <w:bCs/>
          <w:color w:val="000000"/>
          <w:sz w:val="20"/>
          <w:lang w:eastAsia="en-GB"/>
        </w:rPr>
      </w:pPr>
    </w:p>
    <w:p w14:paraId="7BC82D1E" w14:textId="77777777" w:rsidR="003D63FA" w:rsidRDefault="003D63FA" w:rsidP="003D63FA">
      <w:pPr>
        <w:spacing w:after="160" w:line="259" w:lineRule="auto"/>
        <w:ind w:left="284"/>
        <w:contextualSpacing/>
        <w:jc w:val="both"/>
        <w:rPr>
          <w:rFonts w:cs="Arial"/>
          <w:b/>
          <w:bCs/>
          <w:color w:val="000000"/>
          <w:sz w:val="20"/>
          <w:lang w:eastAsia="en-GB"/>
        </w:rPr>
      </w:pPr>
      <w:r w:rsidRPr="003D63FA">
        <w:rPr>
          <w:rFonts w:cs="Arial"/>
          <w:b/>
          <w:bCs/>
          <w:color w:val="000000"/>
          <w:sz w:val="20"/>
          <w:lang w:eastAsia="en-GB"/>
        </w:rPr>
        <w:t xml:space="preserve">Background </w:t>
      </w:r>
    </w:p>
    <w:p w14:paraId="26CDD592" w14:textId="77777777" w:rsidR="00DC5A75" w:rsidRPr="003D63FA" w:rsidRDefault="00DC5A75" w:rsidP="003D63FA">
      <w:pPr>
        <w:spacing w:after="160" w:line="259" w:lineRule="auto"/>
        <w:ind w:left="284"/>
        <w:contextualSpacing/>
        <w:jc w:val="both"/>
        <w:rPr>
          <w:rFonts w:cs="Arial"/>
          <w:b/>
          <w:bCs/>
          <w:color w:val="000000"/>
          <w:sz w:val="20"/>
          <w:lang w:eastAsia="en-GB"/>
        </w:rPr>
      </w:pPr>
    </w:p>
    <w:p w14:paraId="58F3B8D2" w14:textId="166186E7" w:rsidR="00324BAE" w:rsidRDefault="003D63FA" w:rsidP="003D63FA">
      <w:pPr>
        <w:spacing w:after="160" w:line="259" w:lineRule="auto"/>
        <w:ind w:left="284"/>
        <w:contextualSpacing/>
        <w:jc w:val="both"/>
        <w:rPr>
          <w:rFonts w:cs="Arial"/>
          <w:color w:val="000000"/>
          <w:sz w:val="20"/>
          <w:lang w:eastAsia="en-GB"/>
        </w:rPr>
      </w:pPr>
      <w:r w:rsidRPr="003D63FA">
        <w:rPr>
          <w:rFonts w:cs="Arial"/>
          <w:color w:val="000000"/>
          <w:sz w:val="20"/>
          <w:lang w:eastAsia="en-GB"/>
        </w:rPr>
        <w:t xml:space="preserve">In April 2015 TPR published Code of Practice no 14 (the Code) concerning the governance and administration of public service pension schemes. </w:t>
      </w:r>
      <w:r w:rsidR="008611ED">
        <w:rPr>
          <w:rFonts w:cs="Arial"/>
          <w:color w:val="000000"/>
          <w:sz w:val="20"/>
          <w:lang w:eastAsia="en-GB"/>
        </w:rPr>
        <w:t xml:space="preserve">This code also covered </w:t>
      </w:r>
      <w:r w:rsidRPr="003D63FA">
        <w:rPr>
          <w:rFonts w:cs="Arial"/>
          <w:color w:val="000000"/>
          <w:sz w:val="20"/>
          <w:lang w:eastAsia="en-GB"/>
        </w:rPr>
        <w:t xml:space="preserve">breaches of the </w:t>
      </w:r>
      <w:r w:rsidR="003C670A" w:rsidRPr="003D63FA">
        <w:rPr>
          <w:rFonts w:cs="Arial"/>
          <w:color w:val="000000"/>
          <w:sz w:val="20"/>
          <w:lang w:eastAsia="en-GB"/>
        </w:rPr>
        <w:t>law</w:t>
      </w:r>
      <w:r w:rsidR="003C670A">
        <w:rPr>
          <w:rFonts w:cs="Arial"/>
          <w:color w:val="000000"/>
          <w:sz w:val="20"/>
          <w:lang w:eastAsia="en-GB"/>
        </w:rPr>
        <w:t>,</w:t>
      </w:r>
      <w:r w:rsidR="001A45D5">
        <w:rPr>
          <w:rFonts w:cs="Arial"/>
          <w:color w:val="000000"/>
          <w:sz w:val="20"/>
          <w:lang w:eastAsia="en-GB"/>
        </w:rPr>
        <w:t xml:space="preserve"> supplementing </w:t>
      </w:r>
      <w:r w:rsidRPr="003D63FA">
        <w:rPr>
          <w:rFonts w:cs="Arial"/>
          <w:color w:val="000000"/>
          <w:sz w:val="20"/>
          <w:lang w:eastAsia="en-GB"/>
        </w:rPr>
        <w:t>the Pensions Act 2004</w:t>
      </w:r>
      <w:r w:rsidR="00CA0FBF">
        <w:rPr>
          <w:rFonts w:cs="Arial"/>
          <w:color w:val="000000"/>
          <w:sz w:val="20"/>
          <w:lang w:eastAsia="en-GB"/>
        </w:rPr>
        <w:t xml:space="preserve">.  </w:t>
      </w:r>
      <w:r w:rsidR="00324BAE" w:rsidRPr="00324BAE">
        <w:rPr>
          <w:rFonts w:cs="Arial"/>
          <w:color w:val="000000"/>
          <w:sz w:val="20"/>
          <w:lang w:eastAsia="en-GB"/>
        </w:rPr>
        <w:t>There are various</w:t>
      </w:r>
      <w:r w:rsidR="00CA0FBF">
        <w:rPr>
          <w:rFonts w:cs="Arial"/>
          <w:color w:val="000000"/>
          <w:sz w:val="20"/>
          <w:lang w:eastAsia="en-GB"/>
        </w:rPr>
        <w:t xml:space="preserve"> other</w:t>
      </w:r>
      <w:r w:rsidR="00324BAE" w:rsidRPr="00324BAE">
        <w:rPr>
          <w:rFonts w:cs="Arial"/>
          <w:color w:val="000000"/>
          <w:sz w:val="20"/>
          <w:lang w:eastAsia="en-GB"/>
        </w:rPr>
        <w:t xml:space="preserve"> laws relating to the Local Government Pension Scheme, with </w:t>
      </w:r>
      <w:r w:rsidR="00FA2F62">
        <w:rPr>
          <w:rFonts w:cs="Arial"/>
          <w:color w:val="000000"/>
          <w:sz w:val="20"/>
          <w:lang w:eastAsia="en-GB"/>
        </w:rPr>
        <w:t>a range of</w:t>
      </w:r>
      <w:r w:rsidR="00324BAE" w:rsidRPr="00324BAE">
        <w:rPr>
          <w:rFonts w:cs="Arial"/>
          <w:color w:val="000000"/>
          <w:sz w:val="20"/>
          <w:lang w:eastAsia="en-GB"/>
        </w:rPr>
        <w:t xml:space="preserve"> people having a statutory duty to report material breaches of the law to the Regulator. To assist</w:t>
      </w:r>
      <w:r w:rsidR="00234A79">
        <w:rPr>
          <w:rFonts w:cs="Arial"/>
          <w:color w:val="000000"/>
          <w:sz w:val="20"/>
          <w:lang w:eastAsia="en-GB"/>
        </w:rPr>
        <w:t xml:space="preserve"> with this</w:t>
      </w:r>
      <w:r w:rsidR="00324BAE" w:rsidRPr="00324BAE">
        <w:rPr>
          <w:rFonts w:cs="Arial"/>
          <w:color w:val="000000"/>
          <w:sz w:val="20"/>
          <w:lang w:eastAsia="en-GB"/>
        </w:rPr>
        <w:t xml:space="preserve">, the Code states that a procedure should be established to ensure that those with a responsibility to make reports are able to meet their legal obligations. This document is that procedure, which relates to all </w:t>
      </w:r>
      <w:r w:rsidR="00234A79">
        <w:rPr>
          <w:rFonts w:cs="Arial"/>
          <w:color w:val="000000"/>
          <w:sz w:val="20"/>
          <w:lang w:eastAsia="en-GB"/>
        </w:rPr>
        <w:t>Tayside</w:t>
      </w:r>
      <w:r w:rsidR="00324BAE" w:rsidRPr="00324BAE">
        <w:rPr>
          <w:rFonts w:cs="Arial"/>
          <w:color w:val="000000"/>
          <w:sz w:val="20"/>
          <w:lang w:eastAsia="en-GB"/>
        </w:rPr>
        <w:t xml:space="preserve"> Pension Fund (</w:t>
      </w:r>
      <w:r w:rsidR="00234A79">
        <w:rPr>
          <w:rFonts w:cs="Arial"/>
          <w:color w:val="000000"/>
          <w:sz w:val="20"/>
          <w:lang w:eastAsia="en-GB"/>
        </w:rPr>
        <w:t>T</w:t>
      </w:r>
      <w:r w:rsidR="00324BAE" w:rsidRPr="00324BAE">
        <w:rPr>
          <w:rFonts w:cs="Arial"/>
          <w:color w:val="000000"/>
          <w:sz w:val="20"/>
          <w:lang w:eastAsia="en-GB"/>
        </w:rPr>
        <w:t xml:space="preserve">PF) areas of operation.  </w:t>
      </w:r>
    </w:p>
    <w:p w14:paraId="76D0981B" w14:textId="77777777" w:rsidR="001A45D5" w:rsidRDefault="001A45D5" w:rsidP="003D63FA">
      <w:pPr>
        <w:spacing w:after="160" w:line="259" w:lineRule="auto"/>
        <w:ind w:left="284"/>
        <w:contextualSpacing/>
        <w:jc w:val="both"/>
        <w:rPr>
          <w:rFonts w:cs="Arial"/>
          <w:color w:val="000000"/>
          <w:sz w:val="20"/>
          <w:lang w:eastAsia="en-GB"/>
        </w:rPr>
      </w:pPr>
    </w:p>
    <w:p w14:paraId="15E2CCEB" w14:textId="6523234B" w:rsidR="00A20174" w:rsidRDefault="00A20174" w:rsidP="00A20174">
      <w:pPr>
        <w:spacing w:after="160" w:line="259" w:lineRule="auto"/>
        <w:ind w:left="284"/>
        <w:contextualSpacing/>
        <w:jc w:val="both"/>
        <w:rPr>
          <w:rFonts w:cs="Arial"/>
          <w:color w:val="000000"/>
          <w:sz w:val="20"/>
          <w:lang w:eastAsia="en-GB"/>
        </w:rPr>
      </w:pPr>
      <w:r w:rsidRPr="00A20174">
        <w:rPr>
          <w:rFonts w:cs="Arial"/>
          <w:color w:val="000000"/>
          <w:sz w:val="20"/>
          <w:lang w:eastAsia="en-GB"/>
        </w:rPr>
        <w:t xml:space="preserve">As part of </w:t>
      </w:r>
      <w:r w:rsidR="00844ED0">
        <w:rPr>
          <w:rFonts w:cs="Arial"/>
          <w:color w:val="000000"/>
          <w:sz w:val="20"/>
          <w:lang w:eastAsia="en-GB"/>
        </w:rPr>
        <w:t>TPF’s</w:t>
      </w:r>
      <w:r w:rsidRPr="00A20174">
        <w:rPr>
          <w:rFonts w:cs="Arial"/>
          <w:color w:val="000000"/>
          <w:sz w:val="20"/>
          <w:lang w:eastAsia="en-GB"/>
        </w:rPr>
        <w:t xml:space="preserve"> commitment to responsible governance and transparent operations, this document outlines the Fund’s policy and procedures for identifying, monitoring, and, where necessary, reporting breaches of the law.</w:t>
      </w:r>
      <w:r>
        <w:rPr>
          <w:rFonts w:cs="Arial"/>
          <w:color w:val="000000"/>
          <w:sz w:val="20"/>
          <w:lang w:eastAsia="en-GB"/>
        </w:rPr>
        <w:t xml:space="preserve">  </w:t>
      </w:r>
      <w:r w:rsidRPr="00A20174">
        <w:rPr>
          <w:rFonts w:cs="Arial"/>
          <w:color w:val="000000"/>
          <w:sz w:val="20"/>
          <w:lang w:eastAsia="en-GB"/>
        </w:rPr>
        <w:t>This policy will be reviewed by the Fund at least annually to ensure it remains effective and up to date.</w:t>
      </w:r>
    </w:p>
    <w:p w14:paraId="469BFA63" w14:textId="77777777" w:rsidR="00A20174" w:rsidRPr="00A20174" w:rsidRDefault="00A20174" w:rsidP="00A20174">
      <w:pPr>
        <w:spacing w:after="160" w:line="259" w:lineRule="auto"/>
        <w:ind w:left="284"/>
        <w:contextualSpacing/>
        <w:jc w:val="both"/>
        <w:rPr>
          <w:rFonts w:cs="Arial"/>
          <w:color w:val="000000"/>
          <w:sz w:val="20"/>
          <w:lang w:eastAsia="en-GB"/>
        </w:rPr>
      </w:pPr>
    </w:p>
    <w:p w14:paraId="6CC01BD6" w14:textId="581B3BA6" w:rsidR="00A20174" w:rsidRPr="00A20174" w:rsidRDefault="00A20174" w:rsidP="00A20174">
      <w:pPr>
        <w:spacing w:after="160" w:line="259" w:lineRule="auto"/>
        <w:ind w:left="284"/>
        <w:contextualSpacing/>
        <w:jc w:val="both"/>
        <w:rPr>
          <w:rFonts w:cs="Arial"/>
          <w:color w:val="000000"/>
          <w:sz w:val="20"/>
          <w:lang w:eastAsia="en-GB"/>
        </w:rPr>
      </w:pPr>
      <w:r w:rsidRPr="00A20174">
        <w:rPr>
          <w:rFonts w:cs="Arial"/>
          <w:color w:val="000000"/>
          <w:sz w:val="20"/>
          <w:lang w:eastAsia="en-GB"/>
        </w:rPr>
        <w:t xml:space="preserve">The Fund is committed to monitoring all breaches of law and will allocate appropriate resources to support the effective management and administration of this process. Responsibility for overseeing and implementing the Breaches of Law Policy rests with the </w:t>
      </w:r>
      <w:r w:rsidR="00716678">
        <w:rPr>
          <w:rFonts w:cs="Arial"/>
          <w:color w:val="000000"/>
          <w:sz w:val="20"/>
          <w:lang w:eastAsia="en-GB"/>
        </w:rPr>
        <w:t>Pension Scheme Manager</w:t>
      </w:r>
      <w:r w:rsidRPr="00A20174">
        <w:rPr>
          <w:rFonts w:cs="Arial"/>
          <w:color w:val="000000"/>
          <w:sz w:val="20"/>
          <w:lang w:eastAsia="en-GB"/>
        </w:rPr>
        <w:t>.</w:t>
      </w:r>
      <w:r w:rsidR="00992F3D">
        <w:rPr>
          <w:rFonts w:cs="Arial"/>
          <w:color w:val="000000"/>
          <w:sz w:val="20"/>
          <w:lang w:eastAsia="en-GB"/>
        </w:rPr>
        <w:t xml:space="preserve"> </w:t>
      </w:r>
      <w:r w:rsidRPr="00A20174">
        <w:rPr>
          <w:rFonts w:cs="Arial"/>
          <w:color w:val="000000"/>
          <w:sz w:val="20"/>
          <w:lang w:eastAsia="en-GB"/>
        </w:rPr>
        <w:t xml:space="preserve">The introduction of this policy provides the Fund with an additional mechanism to mitigate risk and detect </w:t>
      </w:r>
      <w:r w:rsidR="00CE1338">
        <w:rPr>
          <w:rFonts w:cs="Arial"/>
          <w:color w:val="000000"/>
          <w:sz w:val="20"/>
          <w:lang w:eastAsia="en-GB"/>
        </w:rPr>
        <w:t xml:space="preserve">any </w:t>
      </w:r>
      <w:r w:rsidRPr="00A20174">
        <w:rPr>
          <w:rFonts w:cs="Arial"/>
          <w:color w:val="000000"/>
          <w:sz w:val="20"/>
          <w:lang w:eastAsia="en-GB"/>
        </w:rPr>
        <w:t>potential misconduct at an early stage. It also offers a valuable opportunity to learn from incidents, enabling continuous improvement of processes in areas where breaches have occurred.</w:t>
      </w:r>
    </w:p>
    <w:p w14:paraId="2012D04F" w14:textId="77777777" w:rsidR="00A20174" w:rsidRPr="003D63FA" w:rsidRDefault="00A20174" w:rsidP="003D63FA">
      <w:pPr>
        <w:spacing w:after="160" w:line="259" w:lineRule="auto"/>
        <w:ind w:left="284"/>
        <w:contextualSpacing/>
        <w:jc w:val="both"/>
        <w:rPr>
          <w:rFonts w:cs="Arial"/>
          <w:color w:val="000000"/>
          <w:sz w:val="20"/>
          <w:lang w:eastAsia="en-GB"/>
        </w:rPr>
      </w:pPr>
    </w:p>
    <w:p w14:paraId="777D0F1B" w14:textId="77777777" w:rsidR="003D63FA" w:rsidRDefault="003D63FA" w:rsidP="003D63FA">
      <w:pPr>
        <w:spacing w:after="160" w:line="259" w:lineRule="auto"/>
        <w:ind w:left="284"/>
        <w:contextualSpacing/>
        <w:jc w:val="both"/>
        <w:rPr>
          <w:rFonts w:cs="Arial"/>
          <w:b/>
          <w:bCs/>
          <w:color w:val="000000"/>
          <w:sz w:val="20"/>
          <w:lang w:eastAsia="en-GB"/>
        </w:rPr>
      </w:pPr>
      <w:r w:rsidRPr="009A7FF8">
        <w:rPr>
          <w:rFonts w:cs="Arial"/>
          <w:b/>
          <w:bCs/>
          <w:color w:val="000000"/>
          <w:sz w:val="20"/>
          <w:lang w:eastAsia="en-GB"/>
        </w:rPr>
        <w:t xml:space="preserve">What constitutes a breach of law? </w:t>
      </w:r>
    </w:p>
    <w:p w14:paraId="224AF1C8" w14:textId="77777777" w:rsidR="002C2364" w:rsidRDefault="002C2364" w:rsidP="003D63FA">
      <w:pPr>
        <w:spacing w:after="160" w:line="259" w:lineRule="auto"/>
        <w:ind w:left="284"/>
        <w:contextualSpacing/>
        <w:jc w:val="both"/>
        <w:rPr>
          <w:rFonts w:cs="Arial"/>
          <w:b/>
          <w:bCs/>
          <w:color w:val="000000"/>
          <w:sz w:val="20"/>
          <w:lang w:eastAsia="en-GB"/>
        </w:rPr>
      </w:pPr>
    </w:p>
    <w:p w14:paraId="5C5C4F05" w14:textId="1F06449F" w:rsidR="002C2364" w:rsidRPr="002C2364" w:rsidRDefault="002C2364" w:rsidP="002C2364">
      <w:pPr>
        <w:spacing w:after="160" w:line="259" w:lineRule="auto"/>
        <w:ind w:left="284"/>
        <w:contextualSpacing/>
        <w:jc w:val="both"/>
        <w:rPr>
          <w:rFonts w:cs="Arial"/>
          <w:color w:val="000000"/>
          <w:sz w:val="20"/>
          <w:lang w:eastAsia="en-GB"/>
        </w:rPr>
      </w:pPr>
      <w:r w:rsidRPr="002C2364">
        <w:rPr>
          <w:rFonts w:cs="Arial"/>
          <w:color w:val="000000"/>
          <w:sz w:val="20"/>
          <w:lang w:eastAsia="en-GB"/>
        </w:rPr>
        <w:t>A breach of the law occurs when a legal obligation is not, or has not been, fulfilled. Such breaches may arise across various aspects of Fund management and administration, including but not limited to:</w:t>
      </w:r>
    </w:p>
    <w:p w14:paraId="127F3957"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Failure to comply with overarching legislation, statutory guidance, or codes of practice.</w:t>
      </w:r>
    </w:p>
    <w:p w14:paraId="35C77C92"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Inadequate maintenance of accurate records.</w:t>
      </w:r>
    </w:p>
    <w:p w14:paraId="4102CF32"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Failure to act upon identified fraudulent acts or omissions.</w:t>
      </w:r>
    </w:p>
    <w:p w14:paraId="23D3890F"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Employers failing to remit member or employer contributions within the required timeframe.</w:t>
      </w:r>
    </w:p>
    <w:p w14:paraId="053DBA67"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Inaccurate or delayed payment of member benefits.</w:t>
      </w:r>
    </w:p>
    <w:p w14:paraId="2C24AC81" w14:textId="77777777" w:rsidR="002C2364" w:rsidRPr="00EE024C" w:rsidRDefault="002C2364" w:rsidP="00EE024C">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Failure to issue annual benefit statements within the statutory deadline.</w:t>
      </w:r>
    </w:p>
    <w:p w14:paraId="514D4EB9" w14:textId="116886E8" w:rsidR="007D0E51" w:rsidRPr="00131BFF" w:rsidRDefault="002C2364" w:rsidP="00131BFF">
      <w:pPr>
        <w:pStyle w:val="ListParagraph"/>
        <w:numPr>
          <w:ilvl w:val="0"/>
          <w:numId w:val="80"/>
        </w:numPr>
        <w:spacing w:after="160" w:line="259" w:lineRule="auto"/>
        <w:contextualSpacing/>
        <w:jc w:val="both"/>
        <w:rPr>
          <w:rFonts w:cs="Arial"/>
          <w:color w:val="000000"/>
          <w:sz w:val="20"/>
          <w:lang w:eastAsia="en-GB"/>
        </w:rPr>
      </w:pPr>
      <w:r w:rsidRPr="00EE024C">
        <w:rPr>
          <w:rFonts w:cs="Arial"/>
          <w:color w:val="000000"/>
          <w:sz w:val="20"/>
          <w:lang w:eastAsia="en-GB"/>
        </w:rPr>
        <w:t>Non-compliance with the Fund’s internal policies, such as the Funding Strategy Statement or the Pension Administration Strategy.</w:t>
      </w:r>
    </w:p>
    <w:p w14:paraId="494051EC" w14:textId="77777777" w:rsidR="002C2364" w:rsidRPr="00131BFF" w:rsidRDefault="002C2364" w:rsidP="002C2364">
      <w:pPr>
        <w:spacing w:after="160" w:line="259" w:lineRule="auto"/>
        <w:ind w:left="284"/>
        <w:contextualSpacing/>
        <w:jc w:val="both"/>
        <w:rPr>
          <w:rFonts w:cs="Arial"/>
          <w:b/>
          <w:bCs/>
          <w:color w:val="000000"/>
          <w:sz w:val="20"/>
          <w:lang w:eastAsia="en-GB"/>
        </w:rPr>
      </w:pPr>
      <w:r w:rsidRPr="00131BFF">
        <w:rPr>
          <w:rFonts w:cs="Arial"/>
          <w:b/>
          <w:bCs/>
          <w:color w:val="000000"/>
          <w:sz w:val="20"/>
          <w:lang w:eastAsia="en-GB"/>
        </w:rPr>
        <w:t>Responsibility for Reporting Breaches</w:t>
      </w:r>
    </w:p>
    <w:p w14:paraId="585EC625" w14:textId="77777777" w:rsidR="00131BFF" w:rsidRDefault="00131BFF" w:rsidP="002C2364">
      <w:pPr>
        <w:spacing w:after="160" w:line="259" w:lineRule="auto"/>
        <w:ind w:left="284"/>
        <w:contextualSpacing/>
        <w:jc w:val="both"/>
        <w:rPr>
          <w:rFonts w:cs="Arial"/>
          <w:color w:val="000000"/>
          <w:sz w:val="20"/>
          <w:lang w:eastAsia="en-GB"/>
        </w:rPr>
      </w:pPr>
    </w:p>
    <w:p w14:paraId="4393955D" w14:textId="518231B4" w:rsidR="002C2364" w:rsidRPr="002C2364" w:rsidRDefault="002C2364" w:rsidP="002C2364">
      <w:pPr>
        <w:spacing w:after="160" w:line="259" w:lineRule="auto"/>
        <w:ind w:left="284"/>
        <w:contextualSpacing/>
        <w:jc w:val="both"/>
        <w:rPr>
          <w:rFonts w:cs="Arial"/>
          <w:color w:val="000000"/>
          <w:sz w:val="20"/>
          <w:lang w:eastAsia="en-GB"/>
        </w:rPr>
      </w:pPr>
      <w:r w:rsidRPr="002C2364">
        <w:rPr>
          <w:rFonts w:cs="Arial"/>
          <w:color w:val="000000"/>
          <w:sz w:val="20"/>
          <w:lang w:eastAsia="en-GB"/>
        </w:rPr>
        <w:lastRenderedPageBreak/>
        <w:t>All individuals and entities involved in the management and oversight of the Fund share a collective responsibility to proactively identify, manage, and report any breaches of the law</w:t>
      </w:r>
      <w:r w:rsidR="0034350B">
        <w:rPr>
          <w:rFonts w:cs="Arial"/>
          <w:color w:val="000000"/>
          <w:sz w:val="20"/>
          <w:lang w:eastAsia="en-GB"/>
        </w:rPr>
        <w:t xml:space="preserve">, </w:t>
      </w:r>
      <w:r w:rsidRPr="002C2364">
        <w:rPr>
          <w:rFonts w:cs="Arial"/>
          <w:color w:val="000000"/>
          <w:sz w:val="20"/>
          <w:lang w:eastAsia="en-GB"/>
        </w:rPr>
        <w:t>whether they have occurred or are likely to occur. This includes:</w:t>
      </w:r>
    </w:p>
    <w:p w14:paraId="1C18537D" w14:textId="77777777" w:rsidR="002C2364" w:rsidRPr="002C2364" w:rsidRDefault="002C2364" w:rsidP="0034350B">
      <w:pPr>
        <w:pStyle w:val="ListParagraph"/>
        <w:numPr>
          <w:ilvl w:val="0"/>
          <w:numId w:val="80"/>
        </w:numPr>
        <w:spacing w:after="160" w:line="259" w:lineRule="auto"/>
        <w:contextualSpacing/>
        <w:jc w:val="both"/>
        <w:rPr>
          <w:rFonts w:cs="Arial"/>
          <w:color w:val="000000"/>
          <w:sz w:val="20"/>
          <w:lang w:eastAsia="en-GB"/>
        </w:rPr>
      </w:pPr>
      <w:r w:rsidRPr="002C2364">
        <w:rPr>
          <w:rFonts w:cs="Arial"/>
          <w:color w:val="000000"/>
          <w:sz w:val="20"/>
          <w:lang w:eastAsia="en-GB"/>
        </w:rPr>
        <w:t>Members of the Pensions Committee</w:t>
      </w:r>
    </w:p>
    <w:p w14:paraId="6C47B14F" w14:textId="77777777" w:rsidR="002C2364" w:rsidRPr="002C2364" w:rsidRDefault="002C2364" w:rsidP="0034350B">
      <w:pPr>
        <w:pStyle w:val="ListParagraph"/>
        <w:numPr>
          <w:ilvl w:val="0"/>
          <w:numId w:val="80"/>
        </w:numPr>
        <w:spacing w:after="160" w:line="259" w:lineRule="auto"/>
        <w:contextualSpacing/>
        <w:jc w:val="both"/>
        <w:rPr>
          <w:rFonts w:cs="Arial"/>
          <w:color w:val="000000"/>
          <w:sz w:val="20"/>
          <w:lang w:eastAsia="en-GB"/>
        </w:rPr>
      </w:pPr>
      <w:r w:rsidRPr="002C2364">
        <w:rPr>
          <w:rFonts w:cs="Arial"/>
          <w:color w:val="000000"/>
          <w:sz w:val="20"/>
          <w:lang w:eastAsia="en-GB"/>
        </w:rPr>
        <w:t>Members of the Pension Board</w:t>
      </w:r>
    </w:p>
    <w:p w14:paraId="156A07CE" w14:textId="578B84B0" w:rsidR="002C2364" w:rsidRPr="002C2364" w:rsidRDefault="00E80A68" w:rsidP="0034350B">
      <w:pPr>
        <w:pStyle w:val="ListParagraph"/>
        <w:numPr>
          <w:ilvl w:val="0"/>
          <w:numId w:val="80"/>
        </w:numPr>
        <w:spacing w:after="160" w:line="259" w:lineRule="auto"/>
        <w:contextualSpacing/>
        <w:jc w:val="both"/>
        <w:rPr>
          <w:rFonts w:cs="Arial"/>
          <w:color w:val="000000"/>
          <w:sz w:val="20"/>
          <w:lang w:eastAsia="en-GB"/>
        </w:rPr>
      </w:pPr>
      <w:r>
        <w:rPr>
          <w:rFonts w:cs="Arial"/>
          <w:color w:val="000000"/>
          <w:sz w:val="20"/>
          <w:lang w:eastAsia="en-GB"/>
        </w:rPr>
        <w:t xml:space="preserve">Scheme Managers and </w:t>
      </w:r>
      <w:r w:rsidR="00C009D5">
        <w:rPr>
          <w:rFonts w:cs="Arial"/>
          <w:color w:val="000000"/>
          <w:sz w:val="20"/>
          <w:lang w:eastAsia="en-GB"/>
        </w:rPr>
        <w:t xml:space="preserve">other </w:t>
      </w:r>
      <w:r w:rsidR="002C2364" w:rsidRPr="002C2364">
        <w:rPr>
          <w:rFonts w:cs="Arial"/>
          <w:color w:val="000000"/>
          <w:sz w:val="20"/>
          <w:lang w:eastAsia="en-GB"/>
        </w:rPr>
        <w:t>Fund officers</w:t>
      </w:r>
    </w:p>
    <w:p w14:paraId="1FBA3717" w14:textId="77777777" w:rsidR="002C2364" w:rsidRPr="002C2364" w:rsidRDefault="002C2364" w:rsidP="0034350B">
      <w:pPr>
        <w:pStyle w:val="ListParagraph"/>
        <w:numPr>
          <w:ilvl w:val="0"/>
          <w:numId w:val="80"/>
        </w:numPr>
        <w:spacing w:after="160" w:line="259" w:lineRule="auto"/>
        <w:contextualSpacing/>
        <w:jc w:val="both"/>
        <w:rPr>
          <w:rFonts w:cs="Arial"/>
          <w:color w:val="000000"/>
          <w:sz w:val="20"/>
          <w:lang w:eastAsia="en-GB"/>
        </w:rPr>
      </w:pPr>
      <w:r w:rsidRPr="002C2364">
        <w:rPr>
          <w:rFonts w:cs="Arial"/>
          <w:color w:val="000000"/>
          <w:sz w:val="20"/>
          <w:lang w:eastAsia="en-GB"/>
        </w:rPr>
        <w:t>Participating employers</w:t>
      </w:r>
    </w:p>
    <w:p w14:paraId="63A16830" w14:textId="45E02B3F" w:rsidR="002C2364" w:rsidRDefault="002C2364" w:rsidP="0034350B">
      <w:pPr>
        <w:pStyle w:val="ListParagraph"/>
        <w:numPr>
          <w:ilvl w:val="0"/>
          <w:numId w:val="80"/>
        </w:numPr>
        <w:spacing w:after="160" w:line="259" w:lineRule="auto"/>
        <w:contextualSpacing/>
        <w:jc w:val="both"/>
        <w:rPr>
          <w:rFonts w:cs="Arial"/>
          <w:color w:val="000000"/>
          <w:sz w:val="20"/>
          <w:lang w:eastAsia="en-GB"/>
        </w:rPr>
      </w:pPr>
      <w:r w:rsidRPr="002C2364">
        <w:rPr>
          <w:rFonts w:cs="Arial"/>
          <w:color w:val="000000"/>
          <w:sz w:val="20"/>
          <w:lang w:eastAsia="en-GB"/>
        </w:rPr>
        <w:t>Professional advisers, including auditors, actuaries, legal advisers, and fund managers</w:t>
      </w:r>
    </w:p>
    <w:p w14:paraId="322731FF" w14:textId="0F6C57C5" w:rsidR="005B0C72" w:rsidRPr="005B0C72" w:rsidRDefault="005B0C72" w:rsidP="00F24C49">
      <w:pPr>
        <w:pStyle w:val="ListParagraph"/>
        <w:numPr>
          <w:ilvl w:val="0"/>
          <w:numId w:val="80"/>
        </w:numPr>
        <w:spacing w:after="160" w:line="259" w:lineRule="auto"/>
        <w:contextualSpacing/>
        <w:jc w:val="both"/>
        <w:rPr>
          <w:rFonts w:cs="Arial"/>
          <w:color w:val="000000"/>
          <w:sz w:val="20"/>
          <w:lang w:eastAsia="en-GB"/>
        </w:rPr>
      </w:pPr>
      <w:r w:rsidRPr="005B0C72">
        <w:rPr>
          <w:rFonts w:cs="Arial"/>
          <w:color w:val="000000"/>
          <w:sz w:val="20"/>
          <w:lang w:eastAsia="en-GB"/>
        </w:rPr>
        <w:t>Any person who is otherwise involved in advising the managers of the scheme</w:t>
      </w:r>
      <w:r>
        <w:rPr>
          <w:rFonts w:cs="Arial"/>
          <w:color w:val="000000"/>
          <w:sz w:val="20"/>
          <w:lang w:eastAsia="en-GB"/>
        </w:rPr>
        <w:t>.</w:t>
      </w:r>
    </w:p>
    <w:p w14:paraId="70A12C85" w14:textId="77777777" w:rsidR="00B04F9D" w:rsidRDefault="00B04F9D" w:rsidP="00B04F9D">
      <w:pPr>
        <w:spacing w:after="160" w:line="259" w:lineRule="auto"/>
        <w:contextualSpacing/>
        <w:jc w:val="both"/>
        <w:rPr>
          <w:rFonts w:cs="Arial"/>
          <w:b/>
          <w:bCs/>
          <w:color w:val="000000"/>
          <w:sz w:val="20"/>
          <w:lang w:eastAsia="en-GB"/>
        </w:rPr>
      </w:pPr>
      <w:r w:rsidRPr="00B04F9D">
        <w:rPr>
          <w:rFonts w:cs="Arial"/>
          <w:b/>
          <w:bCs/>
          <w:color w:val="000000"/>
          <w:sz w:val="20"/>
          <w:lang w:eastAsia="en-GB"/>
        </w:rPr>
        <w:t xml:space="preserve">How are records of breaches of law maintained? </w:t>
      </w:r>
    </w:p>
    <w:p w14:paraId="2EE9DD53" w14:textId="77777777" w:rsidR="00C87CDF" w:rsidRPr="00B04F9D" w:rsidRDefault="00C87CDF" w:rsidP="00B04F9D">
      <w:pPr>
        <w:spacing w:after="160" w:line="259" w:lineRule="auto"/>
        <w:contextualSpacing/>
        <w:jc w:val="both"/>
        <w:rPr>
          <w:rFonts w:cs="Arial"/>
          <w:b/>
          <w:bCs/>
          <w:color w:val="000000"/>
          <w:sz w:val="20"/>
          <w:lang w:eastAsia="en-GB"/>
        </w:rPr>
      </w:pPr>
    </w:p>
    <w:p w14:paraId="68120D8A" w14:textId="3F5A76D9" w:rsidR="00C87CDF" w:rsidRPr="00C87CDF" w:rsidRDefault="00C87CDF" w:rsidP="00C87CDF">
      <w:pPr>
        <w:spacing w:after="160" w:line="259" w:lineRule="auto"/>
        <w:contextualSpacing/>
        <w:jc w:val="both"/>
        <w:rPr>
          <w:rFonts w:cs="Arial"/>
          <w:color w:val="000000"/>
          <w:sz w:val="20"/>
          <w:lang w:eastAsia="en-GB"/>
        </w:rPr>
      </w:pPr>
      <w:r w:rsidRPr="00C87CDF">
        <w:rPr>
          <w:rFonts w:cs="Arial"/>
          <w:color w:val="000000"/>
          <w:sz w:val="20"/>
          <w:lang w:eastAsia="en-GB"/>
        </w:rPr>
        <w:t>All breaches or suspected breaches of the law will be recorded in the Fund’s Breaches of Law Log, which is maintained by the Systems / Process Analyst (Pensions).</w:t>
      </w:r>
      <w:r>
        <w:rPr>
          <w:rFonts w:cs="Arial"/>
          <w:color w:val="000000"/>
          <w:sz w:val="20"/>
          <w:lang w:eastAsia="en-GB"/>
        </w:rPr>
        <w:t xml:space="preserve"> </w:t>
      </w:r>
      <w:r w:rsidRPr="00C87CDF">
        <w:rPr>
          <w:rFonts w:cs="Arial"/>
          <w:color w:val="000000"/>
          <w:sz w:val="20"/>
          <w:lang w:eastAsia="en-GB"/>
        </w:rPr>
        <w:t>This log will include all breaches, regardless of whether they are ultimately deemed material to The Pensions Regulator (TPR). Recording all breaches ensures that patterns of repeated non-material breaches can be identified and escalated if they become material over time. It also supports continuous improvement by highlighting areas where process enhancements or additional controls may be required.</w:t>
      </w:r>
    </w:p>
    <w:p w14:paraId="179E5AAD" w14:textId="77777777" w:rsidR="00C87CDF" w:rsidRPr="00C87CDF" w:rsidRDefault="00C87CDF" w:rsidP="00C87CDF">
      <w:pPr>
        <w:spacing w:after="160" w:line="259" w:lineRule="auto"/>
        <w:contextualSpacing/>
        <w:jc w:val="both"/>
        <w:rPr>
          <w:rFonts w:cs="Arial"/>
          <w:color w:val="000000"/>
          <w:sz w:val="20"/>
          <w:lang w:eastAsia="en-GB"/>
        </w:rPr>
      </w:pPr>
    </w:p>
    <w:p w14:paraId="36EC5B00" w14:textId="657D69D6" w:rsidR="00935498" w:rsidRDefault="00C87CDF" w:rsidP="00C87CDF">
      <w:pPr>
        <w:spacing w:after="160" w:line="259" w:lineRule="auto"/>
        <w:contextualSpacing/>
        <w:jc w:val="both"/>
        <w:rPr>
          <w:rFonts w:cs="Arial"/>
          <w:color w:val="000000"/>
          <w:sz w:val="20"/>
          <w:lang w:eastAsia="en-GB"/>
        </w:rPr>
      </w:pPr>
      <w:r w:rsidRPr="00C87CDF">
        <w:rPr>
          <w:rFonts w:cs="Arial"/>
          <w:color w:val="000000"/>
          <w:sz w:val="20"/>
          <w:lang w:eastAsia="en-GB"/>
        </w:rPr>
        <w:t xml:space="preserve">The log will be maintained using a traffic light framework, developed in line with TPR’s guidance, to help assess the severity and urgency of each breach. It will be stored centrally within </w:t>
      </w:r>
      <w:r w:rsidR="00A85155">
        <w:rPr>
          <w:rFonts w:cs="Arial"/>
          <w:color w:val="000000"/>
          <w:sz w:val="20"/>
          <w:lang w:eastAsia="en-GB"/>
        </w:rPr>
        <w:t>SharePoint</w:t>
      </w:r>
      <w:r w:rsidRPr="00C87CDF">
        <w:rPr>
          <w:rFonts w:cs="Arial"/>
          <w:color w:val="000000"/>
          <w:sz w:val="20"/>
          <w:lang w:eastAsia="en-GB"/>
        </w:rPr>
        <w:t xml:space="preserve"> to ensure secure and consistent access</w:t>
      </w:r>
      <w:r w:rsidR="00527B63">
        <w:rPr>
          <w:rFonts w:cs="Arial"/>
          <w:color w:val="000000"/>
          <w:sz w:val="20"/>
          <w:lang w:eastAsia="en-GB"/>
        </w:rPr>
        <w:t>.</w:t>
      </w:r>
    </w:p>
    <w:p w14:paraId="013DD959" w14:textId="77777777" w:rsidR="002D229E" w:rsidRDefault="002D229E" w:rsidP="00B04F9D">
      <w:pPr>
        <w:spacing w:after="160" w:line="259" w:lineRule="auto"/>
        <w:contextualSpacing/>
        <w:jc w:val="both"/>
        <w:rPr>
          <w:rFonts w:cs="Arial"/>
          <w:color w:val="000000"/>
          <w:sz w:val="20"/>
          <w:lang w:eastAsia="en-GB"/>
        </w:rPr>
      </w:pPr>
    </w:p>
    <w:p w14:paraId="77A67E70" w14:textId="77777777" w:rsidR="00333AF1" w:rsidRPr="00333AF1" w:rsidRDefault="00333AF1" w:rsidP="00333AF1">
      <w:pPr>
        <w:spacing w:after="160" w:line="259" w:lineRule="auto"/>
        <w:contextualSpacing/>
        <w:jc w:val="both"/>
        <w:rPr>
          <w:rFonts w:cs="Arial"/>
          <w:b/>
          <w:bCs/>
          <w:color w:val="000000"/>
          <w:sz w:val="20"/>
          <w:lang w:eastAsia="en-GB"/>
        </w:rPr>
      </w:pPr>
      <w:r w:rsidRPr="00333AF1">
        <w:rPr>
          <w:rFonts w:cs="Arial"/>
          <w:b/>
          <w:bCs/>
          <w:color w:val="000000"/>
          <w:sz w:val="20"/>
          <w:lang w:eastAsia="en-GB"/>
        </w:rPr>
        <w:t>Key Responsibilities and Processes</w:t>
      </w:r>
    </w:p>
    <w:p w14:paraId="494D951C" w14:textId="3A660B3C" w:rsidR="00333AF1" w:rsidRPr="00333AF1" w:rsidRDefault="00333AF1" w:rsidP="00333AF1">
      <w:pPr>
        <w:pStyle w:val="ListParagraph"/>
        <w:numPr>
          <w:ilvl w:val="0"/>
          <w:numId w:val="82"/>
        </w:numPr>
        <w:spacing w:after="160" w:line="259" w:lineRule="auto"/>
        <w:contextualSpacing/>
        <w:jc w:val="both"/>
        <w:rPr>
          <w:rFonts w:cs="Arial"/>
          <w:b/>
          <w:bCs/>
          <w:color w:val="000000"/>
          <w:sz w:val="20"/>
          <w:lang w:eastAsia="en-GB"/>
        </w:rPr>
      </w:pPr>
      <w:r w:rsidRPr="00333AF1">
        <w:rPr>
          <w:rFonts w:cs="Arial"/>
          <w:b/>
          <w:bCs/>
          <w:color w:val="000000"/>
          <w:sz w:val="20"/>
          <w:lang w:eastAsia="en-GB"/>
        </w:rPr>
        <w:t>Investigating Breaches</w:t>
      </w:r>
    </w:p>
    <w:p w14:paraId="772E268E" w14:textId="18E61BC5" w:rsidR="00333AF1" w:rsidRPr="00333AF1"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All reported and likely breaches must be investigated.</w:t>
      </w:r>
      <w:r>
        <w:rPr>
          <w:rFonts w:cs="Arial"/>
          <w:color w:val="000000"/>
          <w:sz w:val="20"/>
          <w:lang w:eastAsia="en-GB"/>
        </w:rPr>
        <w:t xml:space="preserve">  </w:t>
      </w:r>
      <w:r w:rsidRPr="00333AF1">
        <w:rPr>
          <w:rFonts w:cs="Arial"/>
          <w:color w:val="000000"/>
          <w:sz w:val="20"/>
          <w:lang w:eastAsia="en-GB"/>
        </w:rPr>
        <w:t xml:space="preserve">The </w:t>
      </w:r>
      <w:r w:rsidR="00A73301">
        <w:rPr>
          <w:rFonts w:cs="Arial"/>
          <w:color w:val="000000"/>
          <w:sz w:val="20"/>
          <w:lang w:eastAsia="en-GB"/>
        </w:rPr>
        <w:t>Systems / Process Analyst (Pensions)</w:t>
      </w:r>
      <w:r w:rsidRPr="00333AF1">
        <w:rPr>
          <w:rFonts w:cs="Arial"/>
          <w:color w:val="000000"/>
          <w:sz w:val="20"/>
          <w:lang w:eastAsia="en-GB"/>
        </w:rPr>
        <w:t xml:space="preserve"> is the first point of contact for potential breaches.</w:t>
      </w:r>
    </w:p>
    <w:p w14:paraId="4089FAAA" w14:textId="621D8E9D" w:rsidR="00333AF1" w:rsidRPr="00333AF1" w:rsidRDefault="00333AF1" w:rsidP="00333AF1">
      <w:pPr>
        <w:pStyle w:val="ListParagraph"/>
        <w:numPr>
          <w:ilvl w:val="0"/>
          <w:numId w:val="82"/>
        </w:numPr>
        <w:spacing w:after="160" w:line="259" w:lineRule="auto"/>
        <w:contextualSpacing/>
        <w:jc w:val="both"/>
        <w:rPr>
          <w:rFonts w:cs="Arial"/>
          <w:b/>
          <w:bCs/>
          <w:color w:val="000000"/>
          <w:sz w:val="20"/>
          <w:lang w:eastAsia="en-GB"/>
        </w:rPr>
      </w:pPr>
      <w:r w:rsidRPr="00333AF1">
        <w:rPr>
          <w:rFonts w:cs="Arial"/>
          <w:b/>
          <w:bCs/>
          <w:color w:val="000000"/>
          <w:sz w:val="20"/>
          <w:lang w:eastAsia="en-GB"/>
        </w:rPr>
        <w:t>Corrective Action</w:t>
      </w:r>
    </w:p>
    <w:p w14:paraId="5D55EBCB" w14:textId="77777777" w:rsidR="00BF0ACA"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If a breach is confirmed, an action plan must be developed and implemented to:</w:t>
      </w:r>
    </w:p>
    <w:p w14:paraId="74BA5E0C" w14:textId="77777777" w:rsidR="004C59D9" w:rsidRDefault="00333AF1" w:rsidP="00527B63">
      <w:pPr>
        <w:pStyle w:val="ListParagraph"/>
        <w:numPr>
          <w:ilvl w:val="0"/>
          <w:numId w:val="80"/>
        </w:numPr>
        <w:spacing w:after="160" w:line="259" w:lineRule="auto"/>
        <w:contextualSpacing/>
        <w:jc w:val="both"/>
        <w:rPr>
          <w:rFonts w:cs="Arial"/>
          <w:color w:val="000000"/>
          <w:sz w:val="20"/>
          <w:lang w:eastAsia="en-GB"/>
        </w:rPr>
      </w:pPr>
      <w:r w:rsidRPr="004C59D9">
        <w:rPr>
          <w:rFonts w:cs="Arial"/>
          <w:color w:val="000000"/>
          <w:sz w:val="20"/>
          <w:lang w:eastAsia="en-GB"/>
        </w:rPr>
        <w:t>Correct the breach.</w:t>
      </w:r>
    </w:p>
    <w:p w14:paraId="2BC07909" w14:textId="799F70E1" w:rsidR="00333AF1" w:rsidRDefault="00333AF1" w:rsidP="00527B63">
      <w:pPr>
        <w:pStyle w:val="ListParagraph"/>
        <w:numPr>
          <w:ilvl w:val="0"/>
          <w:numId w:val="80"/>
        </w:numPr>
        <w:spacing w:after="160" w:line="259" w:lineRule="auto"/>
        <w:contextualSpacing/>
        <w:jc w:val="both"/>
        <w:rPr>
          <w:rFonts w:cs="Arial"/>
          <w:color w:val="000000"/>
          <w:sz w:val="20"/>
          <w:lang w:eastAsia="en-GB"/>
        </w:rPr>
      </w:pPr>
      <w:r w:rsidRPr="004C59D9">
        <w:rPr>
          <w:rFonts w:cs="Arial"/>
          <w:color w:val="000000"/>
          <w:sz w:val="20"/>
          <w:lang w:eastAsia="en-GB"/>
        </w:rPr>
        <w:t>Prevent recurrence of similar breaches.</w:t>
      </w:r>
    </w:p>
    <w:p w14:paraId="11F0233E" w14:textId="1428E52B" w:rsidR="00333AF1" w:rsidRDefault="00333AF1" w:rsidP="00BF0ACA">
      <w:pPr>
        <w:pStyle w:val="ListParagraph"/>
        <w:numPr>
          <w:ilvl w:val="0"/>
          <w:numId w:val="82"/>
        </w:numPr>
        <w:spacing w:after="160" w:line="259" w:lineRule="auto"/>
        <w:contextualSpacing/>
        <w:jc w:val="both"/>
        <w:rPr>
          <w:rFonts w:cs="Arial"/>
          <w:b/>
          <w:bCs/>
          <w:color w:val="000000"/>
          <w:sz w:val="20"/>
          <w:lang w:eastAsia="en-GB"/>
        </w:rPr>
      </w:pPr>
      <w:r w:rsidRPr="00BF0ACA">
        <w:rPr>
          <w:rFonts w:cs="Arial"/>
          <w:b/>
          <w:bCs/>
          <w:color w:val="000000"/>
          <w:sz w:val="20"/>
          <w:lang w:eastAsia="en-GB"/>
        </w:rPr>
        <w:t>Reporting</w:t>
      </w:r>
    </w:p>
    <w:p w14:paraId="4484B440" w14:textId="77777777" w:rsidR="00333AF1" w:rsidRPr="006D6994" w:rsidRDefault="00333AF1" w:rsidP="006D6994">
      <w:pPr>
        <w:spacing w:after="160" w:line="259" w:lineRule="auto"/>
        <w:contextualSpacing/>
        <w:jc w:val="both"/>
        <w:rPr>
          <w:rFonts w:cs="Arial"/>
          <w:color w:val="000000"/>
          <w:sz w:val="20"/>
          <w:lang w:eastAsia="en-GB"/>
        </w:rPr>
      </w:pPr>
      <w:r w:rsidRPr="006D6994">
        <w:rPr>
          <w:rFonts w:cs="Arial"/>
          <w:color w:val="000000"/>
          <w:sz w:val="20"/>
          <w:lang w:eastAsia="en-GB"/>
        </w:rPr>
        <w:t>Routine Reporting: Updates to the breaches log are reported at the next Pensions Committee and Pension Board meetings.</w:t>
      </w:r>
    </w:p>
    <w:p w14:paraId="3203D3F7" w14:textId="5109B6DD" w:rsidR="00333AF1"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Urgent Reporting: If meetings are more than 30 days away</w:t>
      </w:r>
      <w:r w:rsidR="00CB7898">
        <w:rPr>
          <w:rFonts w:cs="Arial"/>
          <w:color w:val="000000"/>
          <w:sz w:val="20"/>
          <w:lang w:eastAsia="en-GB"/>
        </w:rPr>
        <w:t xml:space="preserve">, consultation </w:t>
      </w:r>
      <w:r w:rsidR="00E85271">
        <w:rPr>
          <w:rFonts w:cs="Arial"/>
          <w:color w:val="000000"/>
          <w:sz w:val="20"/>
          <w:lang w:eastAsia="en-GB"/>
        </w:rPr>
        <w:t>must be conducted with:</w:t>
      </w:r>
    </w:p>
    <w:p w14:paraId="6831A292" w14:textId="77777777" w:rsidR="00333AF1" w:rsidRPr="00035B5A" w:rsidRDefault="00333AF1" w:rsidP="00035B5A">
      <w:pPr>
        <w:pStyle w:val="ListParagraph"/>
        <w:numPr>
          <w:ilvl w:val="0"/>
          <w:numId w:val="89"/>
        </w:numPr>
        <w:spacing w:after="160" w:line="259" w:lineRule="auto"/>
        <w:contextualSpacing/>
        <w:jc w:val="both"/>
        <w:rPr>
          <w:rFonts w:cs="Arial"/>
          <w:color w:val="000000"/>
          <w:sz w:val="20"/>
          <w:lang w:eastAsia="en-GB"/>
        </w:rPr>
      </w:pPr>
      <w:r w:rsidRPr="00035B5A">
        <w:rPr>
          <w:rFonts w:cs="Arial"/>
          <w:color w:val="000000"/>
          <w:sz w:val="20"/>
          <w:lang w:eastAsia="en-GB"/>
        </w:rPr>
        <w:t>Chairs of the Pensions Committee and Pension Board.</w:t>
      </w:r>
    </w:p>
    <w:p w14:paraId="3C3841AE" w14:textId="2A70BFB6" w:rsidR="00E85271" w:rsidRPr="00035B5A" w:rsidRDefault="00E85271" w:rsidP="00035B5A">
      <w:pPr>
        <w:pStyle w:val="ListParagraph"/>
        <w:numPr>
          <w:ilvl w:val="0"/>
          <w:numId w:val="89"/>
        </w:numPr>
        <w:spacing w:after="160" w:line="259" w:lineRule="auto"/>
        <w:contextualSpacing/>
        <w:jc w:val="both"/>
        <w:rPr>
          <w:rFonts w:cs="Arial"/>
          <w:color w:val="000000"/>
          <w:sz w:val="20"/>
          <w:lang w:eastAsia="en-GB"/>
        </w:rPr>
      </w:pPr>
      <w:r w:rsidRPr="00035B5A">
        <w:rPr>
          <w:rFonts w:cs="Arial"/>
          <w:color w:val="000000"/>
          <w:sz w:val="20"/>
          <w:lang w:eastAsia="en-GB"/>
        </w:rPr>
        <w:t>Executive Director of Corporate Services</w:t>
      </w:r>
      <w:r w:rsidR="002342F3" w:rsidRPr="00035B5A">
        <w:rPr>
          <w:rFonts w:cs="Arial"/>
          <w:color w:val="000000"/>
          <w:sz w:val="20"/>
          <w:lang w:eastAsia="en-GB"/>
        </w:rPr>
        <w:t xml:space="preserve"> and Head of Corporate Finance</w:t>
      </w:r>
    </w:p>
    <w:p w14:paraId="6A0933B3" w14:textId="239AB91A" w:rsidR="00333AF1" w:rsidRPr="002342F3" w:rsidRDefault="00333AF1" w:rsidP="002342F3">
      <w:pPr>
        <w:pStyle w:val="ListParagraph"/>
        <w:numPr>
          <w:ilvl w:val="0"/>
          <w:numId w:val="82"/>
        </w:numPr>
        <w:spacing w:after="160" w:line="259" w:lineRule="auto"/>
        <w:contextualSpacing/>
        <w:jc w:val="both"/>
        <w:rPr>
          <w:rFonts w:cs="Arial"/>
          <w:b/>
          <w:bCs/>
          <w:color w:val="000000"/>
          <w:sz w:val="20"/>
          <w:lang w:eastAsia="en-GB"/>
        </w:rPr>
      </w:pPr>
      <w:r w:rsidRPr="002342F3">
        <w:rPr>
          <w:rFonts w:cs="Arial"/>
          <w:b/>
          <w:bCs/>
          <w:color w:val="000000"/>
          <w:sz w:val="20"/>
          <w:lang w:eastAsia="en-GB"/>
        </w:rPr>
        <w:t>Annual Reporting</w:t>
      </w:r>
    </w:p>
    <w:p w14:paraId="7E11453F" w14:textId="77777777" w:rsidR="00333AF1"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All material breaches must be included in the Fund’s annual report.</w:t>
      </w:r>
    </w:p>
    <w:p w14:paraId="24C07A85" w14:textId="77777777" w:rsidR="00201ED9" w:rsidRPr="00333AF1" w:rsidRDefault="00201ED9" w:rsidP="00333AF1">
      <w:pPr>
        <w:spacing w:after="160" w:line="259" w:lineRule="auto"/>
        <w:contextualSpacing/>
        <w:jc w:val="both"/>
        <w:rPr>
          <w:rFonts w:cs="Arial"/>
          <w:color w:val="000000"/>
          <w:sz w:val="20"/>
          <w:lang w:eastAsia="en-GB"/>
        </w:rPr>
      </w:pPr>
    </w:p>
    <w:p w14:paraId="779A7F50" w14:textId="77777777" w:rsidR="00333AF1" w:rsidRDefault="00333AF1" w:rsidP="00333AF1">
      <w:pPr>
        <w:spacing w:after="160" w:line="259" w:lineRule="auto"/>
        <w:contextualSpacing/>
        <w:jc w:val="both"/>
        <w:rPr>
          <w:rFonts w:cs="Arial"/>
          <w:b/>
          <w:bCs/>
          <w:color w:val="000000"/>
          <w:sz w:val="20"/>
          <w:lang w:eastAsia="en-GB"/>
        </w:rPr>
      </w:pPr>
      <w:r w:rsidRPr="00201ED9">
        <w:rPr>
          <w:rFonts w:cs="Arial"/>
          <w:b/>
          <w:bCs/>
          <w:color w:val="000000"/>
          <w:sz w:val="20"/>
          <w:lang w:eastAsia="en-GB"/>
        </w:rPr>
        <w:t>Determining Materiality of a Breach (TPR Guidance)</w:t>
      </w:r>
    </w:p>
    <w:p w14:paraId="4B67EA09" w14:textId="77777777" w:rsidR="00201ED9" w:rsidRDefault="00201ED9" w:rsidP="00333AF1">
      <w:pPr>
        <w:spacing w:after="160" w:line="259" w:lineRule="auto"/>
        <w:contextualSpacing/>
        <w:jc w:val="both"/>
        <w:rPr>
          <w:rFonts w:cs="Arial"/>
          <w:b/>
          <w:bCs/>
          <w:color w:val="000000"/>
          <w:sz w:val="20"/>
          <w:lang w:eastAsia="en-GB"/>
        </w:rPr>
      </w:pPr>
    </w:p>
    <w:p w14:paraId="0DAC952D" w14:textId="77777777" w:rsidR="00C57BB4" w:rsidRPr="00C57BB4" w:rsidRDefault="00C57BB4" w:rsidP="00C57BB4">
      <w:pPr>
        <w:spacing w:after="160" w:line="259" w:lineRule="auto"/>
        <w:contextualSpacing/>
        <w:jc w:val="both"/>
        <w:rPr>
          <w:rFonts w:cs="Arial"/>
          <w:color w:val="000000"/>
          <w:sz w:val="20"/>
          <w:lang w:eastAsia="en-GB"/>
        </w:rPr>
      </w:pPr>
      <w:r w:rsidRPr="00C57BB4">
        <w:rPr>
          <w:rFonts w:cs="Arial"/>
          <w:color w:val="000000"/>
          <w:sz w:val="20"/>
          <w:lang w:eastAsia="en-GB"/>
        </w:rPr>
        <w:t>Assessment and Escalation of Breaches</w:t>
      </w:r>
    </w:p>
    <w:p w14:paraId="30E38AF5" w14:textId="77777777" w:rsidR="00C57BB4" w:rsidRPr="00C57BB4" w:rsidRDefault="00C57BB4" w:rsidP="00C57BB4">
      <w:pPr>
        <w:spacing w:after="160" w:line="259" w:lineRule="auto"/>
        <w:contextualSpacing/>
        <w:jc w:val="both"/>
        <w:rPr>
          <w:rFonts w:cs="Arial"/>
          <w:color w:val="000000"/>
          <w:sz w:val="20"/>
          <w:lang w:eastAsia="en-GB"/>
        </w:rPr>
      </w:pPr>
    </w:p>
    <w:p w14:paraId="2456A7E8" w14:textId="02D6468F" w:rsidR="00C57BB4" w:rsidRPr="00C57BB4" w:rsidRDefault="00C57BB4" w:rsidP="00C57BB4">
      <w:pPr>
        <w:spacing w:after="160" w:line="259" w:lineRule="auto"/>
        <w:contextualSpacing/>
        <w:jc w:val="both"/>
        <w:rPr>
          <w:rFonts w:cs="Arial"/>
          <w:color w:val="000000"/>
          <w:sz w:val="20"/>
          <w:lang w:eastAsia="en-GB"/>
        </w:rPr>
      </w:pPr>
      <w:r w:rsidRPr="00C57BB4">
        <w:rPr>
          <w:rFonts w:cs="Arial"/>
          <w:color w:val="000000"/>
          <w:sz w:val="20"/>
          <w:lang w:eastAsia="en-GB"/>
        </w:rPr>
        <w:t>The materiality and significance of a breach will be assessed by considering four key factors</w:t>
      </w:r>
      <w:r>
        <w:rPr>
          <w:rFonts w:cs="Arial"/>
          <w:color w:val="000000"/>
          <w:sz w:val="20"/>
          <w:lang w:eastAsia="en-GB"/>
        </w:rPr>
        <w:t xml:space="preserve">, as detailed below.  </w:t>
      </w:r>
      <w:r w:rsidRPr="00C57BB4">
        <w:rPr>
          <w:rFonts w:cs="Arial"/>
          <w:color w:val="000000"/>
          <w:sz w:val="20"/>
          <w:lang w:eastAsia="en-GB"/>
        </w:rPr>
        <w:t>Detailed guidance on how each of these factors is evaluated is provided in Appendix A.</w:t>
      </w:r>
    </w:p>
    <w:p w14:paraId="2B742D06" w14:textId="77777777" w:rsidR="00C57BB4" w:rsidRPr="00C57BB4" w:rsidRDefault="00C57BB4" w:rsidP="00C57BB4">
      <w:pPr>
        <w:spacing w:after="160" w:line="259" w:lineRule="auto"/>
        <w:contextualSpacing/>
        <w:jc w:val="both"/>
        <w:rPr>
          <w:rFonts w:cs="Arial"/>
          <w:color w:val="000000"/>
          <w:sz w:val="20"/>
          <w:lang w:eastAsia="en-GB"/>
        </w:rPr>
      </w:pPr>
    </w:p>
    <w:p w14:paraId="22F00C6F" w14:textId="7779C39D" w:rsidR="00C57BB4" w:rsidRPr="00C57BB4" w:rsidRDefault="00C57BB4" w:rsidP="00C57BB4">
      <w:pPr>
        <w:spacing w:after="160" w:line="259" w:lineRule="auto"/>
        <w:contextualSpacing/>
        <w:jc w:val="both"/>
        <w:rPr>
          <w:rFonts w:cs="Arial"/>
          <w:color w:val="000000"/>
          <w:sz w:val="20"/>
          <w:lang w:eastAsia="en-GB"/>
        </w:rPr>
      </w:pPr>
      <w:r w:rsidRPr="00C57BB4">
        <w:rPr>
          <w:rFonts w:cs="Arial"/>
          <w:color w:val="000000"/>
          <w:sz w:val="20"/>
          <w:lang w:eastAsia="en-GB"/>
        </w:rPr>
        <w:t xml:space="preserve">In the first instance, the Pension Scheme Manager will serve as the primary point of contact for determining whether a breach should be reported to The Pensions Regulator (TPR). Where cases are </w:t>
      </w:r>
      <w:r w:rsidRPr="00C57BB4">
        <w:rPr>
          <w:rFonts w:cs="Arial"/>
          <w:color w:val="000000"/>
          <w:sz w:val="20"/>
          <w:lang w:eastAsia="en-GB"/>
        </w:rPr>
        <w:lastRenderedPageBreak/>
        <w:t xml:space="preserve">more complex, they may be escalated for further </w:t>
      </w:r>
      <w:r w:rsidR="00AA202F">
        <w:rPr>
          <w:rFonts w:cs="Arial"/>
          <w:color w:val="000000"/>
          <w:sz w:val="20"/>
          <w:lang w:eastAsia="en-GB"/>
        </w:rPr>
        <w:t>review to the Executive Director of Corporate Services</w:t>
      </w:r>
      <w:r w:rsidR="00A020A3">
        <w:rPr>
          <w:rFonts w:cs="Arial"/>
          <w:color w:val="000000"/>
          <w:sz w:val="20"/>
          <w:lang w:eastAsia="en-GB"/>
        </w:rPr>
        <w:t>, and if required, the Chair of both Pension Sub-Committee and Pension Board.</w:t>
      </w:r>
    </w:p>
    <w:p w14:paraId="6E19BC36" w14:textId="77777777" w:rsidR="00C57BB4" w:rsidRPr="00C57BB4" w:rsidRDefault="00C57BB4" w:rsidP="00C57BB4">
      <w:pPr>
        <w:spacing w:after="160" w:line="259" w:lineRule="auto"/>
        <w:contextualSpacing/>
        <w:jc w:val="both"/>
        <w:rPr>
          <w:rFonts w:cs="Arial"/>
          <w:color w:val="000000"/>
          <w:sz w:val="20"/>
          <w:lang w:eastAsia="en-GB"/>
        </w:rPr>
      </w:pPr>
    </w:p>
    <w:p w14:paraId="6C56652A" w14:textId="299F68FE" w:rsidR="00C57BB4" w:rsidRPr="00C57BB4" w:rsidRDefault="00C57BB4" w:rsidP="00C57BB4">
      <w:pPr>
        <w:spacing w:after="160" w:line="259" w:lineRule="auto"/>
        <w:contextualSpacing/>
        <w:jc w:val="both"/>
        <w:rPr>
          <w:rFonts w:cs="Arial"/>
          <w:color w:val="000000"/>
          <w:sz w:val="20"/>
          <w:lang w:eastAsia="en-GB"/>
        </w:rPr>
      </w:pPr>
      <w:r w:rsidRPr="00C57BB4">
        <w:rPr>
          <w:rFonts w:cs="Arial"/>
          <w:color w:val="000000"/>
          <w:sz w:val="20"/>
          <w:lang w:eastAsia="en-GB"/>
        </w:rPr>
        <w:t xml:space="preserve">Breaches vary in urgency. For example, an imminent fraud would require immediate attention, whereas other breaches may be less </w:t>
      </w:r>
      <w:r w:rsidR="006E56CA" w:rsidRPr="00C57BB4">
        <w:rPr>
          <w:rFonts w:cs="Arial"/>
          <w:color w:val="000000"/>
          <w:sz w:val="20"/>
          <w:lang w:eastAsia="en-GB"/>
        </w:rPr>
        <w:t>time sensitive</w:t>
      </w:r>
      <w:r w:rsidRPr="00C57BB4">
        <w:rPr>
          <w:rFonts w:cs="Arial"/>
          <w:color w:val="000000"/>
          <w:sz w:val="20"/>
          <w:lang w:eastAsia="en-GB"/>
        </w:rPr>
        <w:t>. Non-urgent but material breaches should, wherever feasible, be reported to TPR within 30 working days of confirmation. Breaches assessed as non-material should still be recorded within the same timeframe.</w:t>
      </w:r>
    </w:p>
    <w:p w14:paraId="4973FEB5" w14:textId="77777777" w:rsidR="00C57BB4" w:rsidRPr="00C57BB4" w:rsidRDefault="00C57BB4" w:rsidP="00C57BB4">
      <w:pPr>
        <w:spacing w:after="160" w:line="259" w:lineRule="auto"/>
        <w:contextualSpacing/>
        <w:jc w:val="both"/>
        <w:rPr>
          <w:rFonts w:cs="Arial"/>
          <w:color w:val="000000"/>
          <w:sz w:val="20"/>
          <w:lang w:eastAsia="en-GB"/>
        </w:rPr>
      </w:pPr>
    </w:p>
    <w:p w14:paraId="34FD4B70" w14:textId="5FE9EB5F" w:rsidR="0099785E" w:rsidRDefault="00C57BB4" w:rsidP="00C57BB4">
      <w:pPr>
        <w:spacing w:after="160" w:line="259" w:lineRule="auto"/>
        <w:contextualSpacing/>
        <w:jc w:val="both"/>
        <w:rPr>
          <w:rFonts w:cs="Arial"/>
          <w:color w:val="000000"/>
          <w:sz w:val="20"/>
          <w:lang w:eastAsia="en-GB"/>
        </w:rPr>
      </w:pPr>
      <w:r w:rsidRPr="00C57BB4">
        <w:rPr>
          <w:rFonts w:cs="Arial"/>
          <w:color w:val="000000"/>
          <w:sz w:val="20"/>
          <w:lang w:eastAsia="en-GB"/>
        </w:rPr>
        <w:t>Certain breaches are so serious that they must always be reported. For instance, theft of funds by any individual involved in the administration or management of the Fund constitutes a reportable breach. While it is not always possible to define every instance that warrants mandatory reporting, a useful test is:</w:t>
      </w:r>
      <w:r w:rsidR="009C03D2">
        <w:rPr>
          <w:rFonts w:cs="Arial"/>
          <w:color w:val="000000"/>
          <w:sz w:val="20"/>
          <w:lang w:eastAsia="en-GB"/>
        </w:rPr>
        <w:t xml:space="preserve"> </w:t>
      </w:r>
      <w:r w:rsidRPr="00C57BB4">
        <w:rPr>
          <w:rFonts w:cs="Arial"/>
          <w:color w:val="000000"/>
          <w:sz w:val="20"/>
          <w:lang w:eastAsia="en-GB"/>
        </w:rPr>
        <w:t>Could the breach reasonably result in criminal prosecution or cause serious damage to public confidence?</w:t>
      </w:r>
    </w:p>
    <w:p w14:paraId="16B9BB6D" w14:textId="77777777" w:rsidR="0099785E" w:rsidRDefault="0099785E" w:rsidP="00333AF1">
      <w:pPr>
        <w:spacing w:after="160" w:line="259" w:lineRule="auto"/>
        <w:contextualSpacing/>
        <w:jc w:val="both"/>
        <w:rPr>
          <w:rFonts w:cs="Arial"/>
          <w:color w:val="000000"/>
          <w:sz w:val="20"/>
          <w:lang w:eastAsia="en-GB"/>
        </w:rPr>
      </w:pPr>
    </w:p>
    <w:p w14:paraId="7D1322F5" w14:textId="4307A109" w:rsidR="00333AF1" w:rsidRPr="00333AF1"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 xml:space="preserve">Factors </w:t>
      </w:r>
      <w:r w:rsidR="003F00A9">
        <w:rPr>
          <w:rFonts w:cs="Arial"/>
          <w:color w:val="000000"/>
          <w:sz w:val="20"/>
          <w:lang w:eastAsia="en-GB"/>
        </w:rPr>
        <w:t>for consideration</w:t>
      </w:r>
      <w:r w:rsidRPr="00333AF1">
        <w:rPr>
          <w:rFonts w:cs="Arial"/>
          <w:color w:val="000000"/>
          <w:sz w:val="20"/>
          <w:lang w:eastAsia="en-GB"/>
        </w:rPr>
        <w:t>:</w:t>
      </w:r>
    </w:p>
    <w:p w14:paraId="62311DCB" w14:textId="7285F7D5" w:rsidR="00333AF1" w:rsidRDefault="00333AF1" w:rsidP="00201ED9">
      <w:pPr>
        <w:pStyle w:val="ListParagraph"/>
        <w:numPr>
          <w:ilvl w:val="0"/>
          <w:numId w:val="86"/>
        </w:numPr>
        <w:spacing w:after="160" w:line="259" w:lineRule="auto"/>
        <w:contextualSpacing/>
        <w:jc w:val="both"/>
        <w:rPr>
          <w:rFonts w:cs="Arial"/>
          <w:color w:val="000000"/>
          <w:sz w:val="20"/>
          <w:lang w:eastAsia="en-GB"/>
        </w:rPr>
      </w:pPr>
      <w:r w:rsidRPr="008B1F41">
        <w:rPr>
          <w:rFonts w:cs="Arial"/>
          <w:b/>
          <w:bCs/>
          <w:color w:val="000000"/>
          <w:sz w:val="20"/>
          <w:lang w:eastAsia="en-GB"/>
        </w:rPr>
        <w:t>Cause:</w:t>
      </w:r>
      <w:r w:rsidRPr="00201ED9">
        <w:rPr>
          <w:rFonts w:cs="Arial"/>
          <w:color w:val="000000"/>
          <w:sz w:val="20"/>
          <w:lang w:eastAsia="en-GB"/>
        </w:rPr>
        <w:t xml:space="preserve"> e.g., dishonesty, poor governance, deliberate legal breaches</w:t>
      </w:r>
      <w:r w:rsidR="005454C9">
        <w:rPr>
          <w:rFonts w:cs="Arial"/>
          <w:color w:val="000000"/>
          <w:sz w:val="20"/>
          <w:lang w:eastAsia="en-GB"/>
        </w:rPr>
        <w:t xml:space="preserve">, </w:t>
      </w:r>
      <w:r w:rsidR="00881C86">
        <w:rPr>
          <w:rFonts w:cs="Arial"/>
          <w:color w:val="000000"/>
          <w:sz w:val="20"/>
          <w:lang w:eastAsia="en-GB"/>
        </w:rPr>
        <w:t>incomplete or inaccurate advice</w:t>
      </w:r>
      <w:r w:rsidRPr="00201ED9">
        <w:rPr>
          <w:rFonts w:cs="Arial"/>
          <w:color w:val="000000"/>
          <w:sz w:val="20"/>
          <w:lang w:eastAsia="en-GB"/>
        </w:rPr>
        <w:t>.</w:t>
      </w:r>
    </w:p>
    <w:p w14:paraId="75816A69" w14:textId="68D2C19F" w:rsidR="000F761D" w:rsidRPr="000F761D" w:rsidRDefault="000F761D" w:rsidP="000F761D">
      <w:pPr>
        <w:spacing w:after="160" w:line="259" w:lineRule="auto"/>
        <w:ind w:left="360"/>
        <w:contextualSpacing/>
        <w:jc w:val="both"/>
        <w:rPr>
          <w:rFonts w:cs="Arial"/>
          <w:color w:val="000000"/>
          <w:sz w:val="20"/>
          <w:lang w:eastAsia="en-GB"/>
        </w:rPr>
      </w:pPr>
      <w:r w:rsidRPr="000F761D">
        <w:rPr>
          <w:rFonts w:cs="Arial"/>
          <w:color w:val="000000"/>
          <w:sz w:val="20"/>
          <w:lang w:eastAsia="en-GB"/>
        </w:rPr>
        <w:t>When assessing whether a breach is of material significance, those responsible should take into account any other breaches</w:t>
      </w:r>
      <w:r w:rsidR="000B490B">
        <w:rPr>
          <w:rFonts w:cs="Arial"/>
          <w:color w:val="000000"/>
          <w:sz w:val="20"/>
          <w:lang w:eastAsia="en-GB"/>
        </w:rPr>
        <w:t xml:space="preserve">, </w:t>
      </w:r>
      <w:r w:rsidRPr="000F761D">
        <w:rPr>
          <w:rFonts w:cs="Arial"/>
          <w:color w:val="000000"/>
          <w:sz w:val="20"/>
          <w:lang w:eastAsia="en-GB"/>
        </w:rPr>
        <w:t>both reported and unreported</w:t>
      </w:r>
      <w:r w:rsidR="000B490B">
        <w:rPr>
          <w:rFonts w:cs="Arial"/>
          <w:color w:val="000000"/>
          <w:sz w:val="20"/>
          <w:lang w:eastAsia="en-GB"/>
        </w:rPr>
        <w:t xml:space="preserve">, </w:t>
      </w:r>
      <w:r w:rsidRPr="000F761D">
        <w:rPr>
          <w:rFonts w:cs="Arial"/>
          <w:color w:val="000000"/>
          <w:sz w:val="20"/>
          <w:lang w:eastAsia="en-GB"/>
        </w:rPr>
        <w:t>of which they are aware. However, historical breaches should be evaluated with caution, particularly where remedial actions have been implemented to address previously identified issues.</w:t>
      </w:r>
    </w:p>
    <w:p w14:paraId="00DC4791" w14:textId="77777777" w:rsidR="000F761D" w:rsidRPr="000B490B" w:rsidRDefault="000F761D" w:rsidP="000B490B">
      <w:pPr>
        <w:spacing w:after="160" w:line="259" w:lineRule="auto"/>
        <w:ind w:left="360"/>
        <w:contextualSpacing/>
        <w:jc w:val="both"/>
        <w:rPr>
          <w:rFonts w:cs="Arial"/>
          <w:color w:val="000000"/>
          <w:sz w:val="20"/>
          <w:lang w:eastAsia="en-GB"/>
        </w:rPr>
      </w:pPr>
    </w:p>
    <w:p w14:paraId="4D278730" w14:textId="1C6BA179" w:rsidR="00B5570A" w:rsidRDefault="000F761D" w:rsidP="000B490B">
      <w:pPr>
        <w:spacing w:after="160" w:line="259" w:lineRule="auto"/>
        <w:ind w:left="360"/>
        <w:contextualSpacing/>
        <w:jc w:val="both"/>
        <w:rPr>
          <w:rFonts w:cs="Arial"/>
          <w:color w:val="000000"/>
          <w:sz w:val="20"/>
          <w:lang w:eastAsia="en-GB"/>
        </w:rPr>
      </w:pPr>
      <w:r w:rsidRPr="000B490B">
        <w:rPr>
          <w:rFonts w:cs="Arial"/>
          <w:color w:val="000000"/>
          <w:sz w:val="20"/>
          <w:lang w:eastAsia="en-GB"/>
        </w:rPr>
        <w:t>A breach is unlikely to be considered materially significant if it results from an isolated incident, such as initial challenges associated with the implementation of a new system or procedure, or from an unusual or unforeseeable set of circumstances. Nevertheless, it remains important to assess the broader impact of the breach. Repeated isolated incidents may signal underlying systemic weaknesses within the scheme and should therefore be carefully scrutini</w:t>
      </w:r>
      <w:r w:rsidR="00B5570A">
        <w:rPr>
          <w:rFonts w:cs="Arial"/>
          <w:color w:val="000000"/>
          <w:sz w:val="20"/>
          <w:lang w:eastAsia="en-GB"/>
        </w:rPr>
        <w:t>s</w:t>
      </w:r>
      <w:r w:rsidRPr="000B490B">
        <w:rPr>
          <w:rFonts w:cs="Arial"/>
          <w:color w:val="000000"/>
          <w:sz w:val="20"/>
          <w:lang w:eastAsia="en-GB"/>
        </w:rPr>
        <w:t>ed.</w:t>
      </w:r>
    </w:p>
    <w:p w14:paraId="65DAFD4B" w14:textId="77777777" w:rsidR="00B5570A" w:rsidRDefault="00B5570A" w:rsidP="000B490B">
      <w:pPr>
        <w:spacing w:after="160" w:line="259" w:lineRule="auto"/>
        <w:ind w:left="360"/>
        <w:contextualSpacing/>
        <w:jc w:val="both"/>
        <w:rPr>
          <w:rFonts w:cs="Arial"/>
          <w:color w:val="000000"/>
          <w:sz w:val="20"/>
          <w:lang w:eastAsia="en-GB"/>
        </w:rPr>
      </w:pPr>
    </w:p>
    <w:p w14:paraId="1150DA47" w14:textId="007A1096" w:rsidR="00333AF1" w:rsidRPr="000B490B" w:rsidRDefault="00333AF1" w:rsidP="00B5570A">
      <w:pPr>
        <w:pStyle w:val="ListParagraph"/>
        <w:numPr>
          <w:ilvl w:val="0"/>
          <w:numId w:val="86"/>
        </w:numPr>
        <w:spacing w:after="160" w:line="259" w:lineRule="auto"/>
        <w:contextualSpacing/>
        <w:jc w:val="both"/>
        <w:rPr>
          <w:rFonts w:cs="Arial"/>
          <w:color w:val="000000"/>
          <w:sz w:val="20"/>
          <w:lang w:eastAsia="en-GB"/>
        </w:rPr>
      </w:pPr>
      <w:r w:rsidRPr="000B490B">
        <w:rPr>
          <w:rFonts w:cs="Arial"/>
          <w:b/>
          <w:bCs/>
          <w:color w:val="000000"/>
          <w:sz w:val="20"/>
          <w:lang w:eastAsia="en-GB"/>
        </w:rPr>
        <w:t>Effect:</w:t>
      </w:r>
      <w:r w:rsidRPr="000B490B">
        <w:rPr>
          <w:rFonts w:cs="Arial"/>
          <w:color w:val="000000"/>
          <w:sz w:val="20"/>
          <w:lang w:eastAsia="en-GB"/>
        </w:rPr>
        <w:t xml:space="preserve"> e.g., conflicts of interest, inaccurate benefit information, asset misappropriation.</w:t>
      </w:r>
    </w:p>
    <w:p w14:paraId="65D28DFD" w14:textId="77777777" w:rsidR="00333AF1" w:rsidRPr="00201ED9" w:rsidRDefault="00333AF1" w:rsidP="00201ED9">
      <w:pPr>
        <w:pStyle w:val="ListParagraph"/>
        <w:numPr>
          <w:ilvl w:val="0"/>
          <w:numId w:val="86"/>
        </w:numPr>
        <w:spacing w:after="160" w:line="259" w:lineRule="auto"/>
        <w:contextualSpacing/>
        <w:jc w:val="both"/>
        <w:rPr>
          <w:rFonts w:cs="Arial"/>
          <w:color w:val="000000"/>
          <w:sz w:val="20"/>
          <w:lang w:eastAsia="en-GB"/>
        </w:rPr>
      </w:pPr>
      <w:r w:rsidRPr="008B1F41">
        <w:rPr>
          <w:rFonts w:cs="Arial"/>
          <w:b/>
          <w:bCs/>
          <w:color w:val="000000"/>
          <w:sz w:val="20"/>
          <w:lang w:eastAsia="en-GB"/>
        </w:rPr>
        <w:t>Reaction:</w:t>
      </w:r>
      <w:r w:rsidRPr="00201ED9">
        <w:rPr>
          <w:rFonts w:cs="Arial"/>
          <w:color w:val="000000"/>
          <w:sz w:val="20"/>
          <w:lang w:eastAsia="en-GB"/>
        </w:rPr>
        <w:t xml:space="preserve"> e.g., delayed or ineffective corrective action.</w:t>
      </w:r>
    </w:p>
    <w:p w14:paraId="599E0597" w14:textId="77777777" w:rsidR="00333AF1" w:rsidRPr="00201ED9" w:rsidRDefault="00333AF1" w:rsidP="00201ED9">
      <w:pPr>
        <w:pStyle w:val="ListParagraph"/>
        <w:numPr>
          <w:ilvl w:val="0"/>
          <w:numId w:val="86"/>
        </w:numPr>
        <w:spacing w:after="160" w:line="259" w:lineRule="auto"/>
        <w:contextualSpacing/>
        <w:jc w:val="both"/>
        <w:rPr>
          <w:rFonts w:cs="Arial"/>
          <w:color w:val="000000"/>
          <w:sz w:val="20"/>
          <w:lang w:eastAsia="en-GB"/>
        </w:rPr>
      </w:pPr>
      <w:r w:rsidRPr="008B1F41">
        <w:rPr>
          <w:rFonts w:cs="Arial"/>
          <w:b/>
          <w:bCs/>
          <w:color w:val="000000"/>
          <w:sz w:val="20"/>
          <w:lang w:eastAsia="en-GB"/>
        </w:rPr>
        <w:t>Wider Implications:</w:t>
      </w:r>
      <w:r w:rsidRPr="00201ED9">
        <w:rPr>
          <w:rFonts w:cs="Arial"/>
          <w:color w:val="000000"/>
          <w:sz w:val="20"/>
          <w:lang w:eastAsia="en-GB"/>
        </w:rPr>
        <w:t xml:space="preserve"> e.g., likelihood of similar future breaches.</w:t>
      </w:r>
    </w:p>
    <w:p w14:paraId="1E49542A" w14:textId="77777777" w:rsidR="00333AF1" w:rsidRPr="00201ED9" w:rsidRDefault="00333AF1" w:rsidP="00201ED9">
      <w:pPr>
        <w:pStyle w:val="ListParagraph"/>
        <w:numPr>
          <w:ilvl w:val="0"/>
          <w:numId w:val="86"/>
        </w:numPr>
        <w:spacing w:after="160" w:line="259" w:lineRule="auto"/>
        <w:contextualSpacing/>
        <w:jc w:val="both"/>
        <w:rPr>
          <w:rFonts w:cs="Arial"/>
          <w:color w:val="000000"/>
          <w:sz w:val="20"/>
          <w:lang w:eastAsia="en-GB"/>
        </w:rPr>
      </w:pPr>
      <w:r w:rsidRPr="008B1F41">
        <w:rPr>
          <w:rFonts w:cs="Arial"/>
          <w:b/>
          <w:bCs/>
          <w:color w:val="000000"/>
          <w:sz w:val="20"/>
          <w:lang w:eastAsia="en-GB"/>
        </w:rPr>
        <w:t>Note:</w:t>
      </w:r>
      <w:r w:rsidRPr="00201ED9">
        <w:rPr>
          <w:rFonts w:cs="Arial"/>
          <w:color w:val="000000"/>
          <w:sz w:val="20"/>
          <w:lang w:eastAsia="en-GB"/>
        </w:rPr>
        <w:t xml:space="preserve"> Not all breaches are reportable. If prompt and effective corrective action is taken, TPR may not consider the breach material.</w:t>
      </w:r>
    </w:p>
    <w:p w14:paraId="5B262346" w14:textId="2C43A159" w:rsidR="00333AF1"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Special Cases</w:t>
      </w:r>
      <w:r w:rsidR="003F00A9">
        <w:rPr>
          <w:rFonts w:cs="Arial"/>
          <w:color w:val="000000"/>
          <w:sz w:val="20"/>
          <w:lang w:eastAsia="en-GB"/>
        </w:rPr>
        <w:t xml:space="preserve">: </w:t>
      </w:r>
    </w:p>
    <w:p w14:paraId="2096F1BC" w14:textId="77777777" w:rsidR="003F00A9" w:rsidRPr="00333AF1" w:rsidRDefault="003F00A9" w:rsidP="00333AF1">
      <w:pPr>
        <w:spacing w:after="160" w:line="259" w:lineRule="auto"/>
        <w:contextualSpacing/>
        <w:jc w:val="both"/>
        <w:rPr>
          <w:rFonts w:cs="Arial"/>
          <w:color w:val="000000"/>
          <w:sz w:val="20"/>
          <w:lang w:eastAsia="en-GB"/>
        </w:rPr>
      </w:pPr>
    </w:p>
    <w:p w14:paraId="1265B18B" w14:textId="518A21EB" w:rsidR="002F1C43" w:rsidRDefault="00333AF1" w:rsidP="00333AF1">
      <w:pPr>
        <w:spacing w:after="160" w:line="259" w:lineRule="auto"/>
        <w:contextualSpacing/>
        <w:jc w:val="both"/>
        <w:rPr>
          <w:rFonts w:cs="Arial"/>
          <w:color w:val="000000"/>
          <w:sz w:val="20"/>
          <w:lang w:eastAsia="en-GB"/>
        </w:rPr>
      </w:pPr>
      <w:r w:rsidRPr="00333AF1">
        <w:rPr>
          <w:rFonts w:cs="Arial"/>
          <w:color w:val="000000"/>
          <w:sz w:val="20"/>
          <w:lang w:eastAsia="en-GB"/>
        </w:rPr>
        <w:t>If the breach involves theft, fraud, or serious offences, and reporting internally may compromise investigations</w:t>
      </w:r>
      <w:r w:rsidR="00663864">
        <w:rPr>
          <w:rFonts w:cs="Arial"/>
          <w:color w:val="000000"/>
          <w:sz w:val="20"/>
          <w:lang w:eastAsia="en-GB"/>
        </w:rPr>
        <w:t>, r</w:t>
      </w:r>
      <w:r w:rsidRPr="00333AF1">
        <w:rPr>
          <w:rFonts w:cs="Arial"/>
          <w:color w:val="000000"/>
          <w:sz w:val="20"/>
          <w:lang w:eastAsia="en-GB"/>
        </w:rPr>
        <w:t xml:space="preserve">eport directly to TPR </w:t>
      </w:r>
      <w:r w:rsidR="0071407E">
        <w:rPr>
          <w:rFonts w:cs="Arial"/>
          <w:color w:val="000000"/>
          <w:sz w:val="20"/>
          <w:lang w:eastAsia="en-GB"/>
        </w:rPr>
        <w:t xml:space="preserve">(and other agencies </w:t>
      </w:r>
      <w:r w:rsidR="0066605A">
        <w:rPr>
          <w:rFonts w:cs="Arial"/>
          <w:color w:val="000000"/>
          <w:sz w:val="20"/>
          <w:lang w:eastAsia="en-GB"/>
        </w:rPr>
        <w:t xml:space="preserve">if applicable), </w:t>
      </w:r>
      <w:r w:rsidRPr="00333AF1">
        <w:rPr>
          <w:rFonts w:cs="Arial"/>
          <w:color w:val="000000"/>
          <w:sz w:val="20"/>
          <w:lang w:eastAsia="en-GB"/>
        </w:rPr>
        <w:t>without delay.</w:t>
      </w:r>
    </w:p>
    <w:p w14:paraId="08088270" w14:textId="77777777" w:rsidR="002F1C43" w:rsidRDefault="002F1C43" w:rsidP="002D229E">
      <w:pPr>
        <w:spacing w:after="160" w:line="259" w:lineRule="auto"/>
        <w:contextualSpacing/>
        <w:jc w:val="both"/>
        <w:rPr>
          <w:rFonts w:cs="Arial"/>
          <w:color w:val="000000"/>
          <w:sz w:val="20"/>
          <w:lang w:eastAsia="en-GB"/>
        </w:rPr>
      </w:pPr>
    </w:p>
    <w:p w14:paraId="0A2FC8AF" w14:textId="0B89E4D5" w:rsidR="002D229E" w:rsidRDefault="002D229E" w:rsidP="002D229E">
      <w:pPr>
        <w:spacing w:after="160" w:line="259" w:lineRule="auto"/>
        <w:contextualSpacing/>
        <w:jc w:val="both"/>
        <w:rPr>
          <w:rFonts w:cs="Arial"/>
          <w:b/>
          <w:bCs/>
          <w:color w:val="000000"/>
          <w:sz w:val="20"/>
          <w:lang w:eastAsia="en-GB"/>
        </w:rPr>
      </w:pPr>
      <w:r w:rsidRPr="0066605A">
        <w:rPr>
          <w:rFonts w:cs="Arial"/>
          <w:b/>
          <w:bCs/>
          <w:color w:val="000000"/>
          <w:sz w:val="20"/>
          <w:lang w:eastAsia="en-GB"/>
        </w:rPr>
        <w:t xml:space="preserve">Reporting a breach of law to TPR </w:t>
      </w:r>
    </w:p>
    <w:p w14:paraId="4170D2E6" w14:textId="77777777" w:rsidR="0066605A" w:rsidRPr="0066605A" w:rsidRDefault="0066605A" w:rsidP="002D229E">
      <w:pPr>
        <w:spacing w:after="160" w:line="259" w:lineRule="auto"/>
        <w:contextualSpacing/>
        <w:jc w:val="both"/>
        <w:rPr>
          <w:rFonts w:cs="Arial"/>
          <w:b/>
          <w:bCs/>
          <w:color w:val="000000"/>
          <w:sz w:val="20"/>
          <w:lang w:eastAsia="en-GB"/>
        </w:rPr>
      </w:pPr>
    </w:p>
    <w:p w14:paraId="1C51D460" w14:textId="77777777" w:rsidR="00BC7D37" w:rsidRDefault="00026934" w:rsidP="00026934">
      <w:pPr>
        <w:spacing w:after="160" w:line="259" w:lineRule="auto"/>
        <w:contextualSpacing/>
        <w:jc w:val="both"/>
        <w:rPr>
          <w:rFonts w:cs="Arial"/>
          <w:color w:val="000000"/>
          <w:sz w:val="20"/>
          <w:lang w:eastAsia="en-GB"/>
        </w:rPr>
      </w:pPr>
      <w:r w:rsidRPr="00026934">
        <w:rPr>
          <w:rFonts w:cs="Arial"/>
          <w:color w:val="000000"/>
          <w:sz w:val="20"/>
          <w:lang w:eastAsia="en-GB"/>
        </w:rPr>
        <w:t>Having ‘reasonable cause’ to believe that a breach has occurred means more than merely having a suspicion that cannot be substantiated.</w:t>
      </w:r>
      <w:r>
        <w:rPr>
          <w:rFonts w:cs="Arial"/>
          <w:color w:val="000000"/>
          <w:sz w:val="20"/>
          <w:lang w:eastAsia="en-GB"/>
        </w:rPr>
        <w:t xml:space="preserve"> </w:t>
      </w:r>
      <w:r w:rsidRPr="00026934">
        <w:rPr>
          <w:rFonts w:cs="Arial"/>
          <w:color w:val="000000"/>
          <w:sz w:val="20"/>
          <w:lang w:eastAsia="en-GB"/>
        </w:rPr>
        <w:t xml:space="preserve">Reporters should ensure that where a breach is </w:t>
      </w:r>
      <w:r w:rsidR="006E56CA" w:rsidRPr="00026934">
        <w:rPr>
          <w:rFonts w:cs="Arial"/>
          <w:color w:val="000000"/>
          <w:sz w:val="20"/>
          <w:lang w:eastAsia="en-GB"/>
        </w:rPr>
        <w:t>suspected</w:t>
      </w:r>
      <w:r w:rsidRPr="00026934">
        <w:rPr>
          <w:rFonts w:cs="Arial"/>
          <w:color w:val="000000"/>
          <w:sz w:val="20"/>
          <w:lang w:eastAsia="en-GB"/>
        </w:rPr>
        <w:t xml:space="preserve"> </w:t>
      </w:r>
      <w:r>
        <w:rPr>
          <w:rFonts w:cs="Arial"/>
          <w:color w:val="000000"/>
          <w:sz w:val="20"/>
          <w:lang w:eastAsia="en-GB"/>
        </w:rPr>
        <w:t xml:space="preserve">that </w:t>
      </w:r>
      <w:r w:rsidRPr="00026934">
        <w:rPr>
          <w:rFonts w:cs="Arial"/>
          <w:color w:val="000000"/>
          <w:sz w:val="20"/>
          <w:lang w:eastAsia="en-GB"/>
        </w:rPr>
        <w:t>they carry out checks to establish whether or not a breach has in fact occurred.  Where the reporter d</w:t>
      </w:r>
      <w:r w:rsidRPr="00E97A78">
        <w:rPr>
          <w:rFonts w:cs="Arial"/>
          <w:color w:val="000000"/>
          <w:sz w:val="20"/>
          <w:lang w:eastAsia="en-GB"/>
        </w:rPr>
        <w:t xml:space="preserve">oes not know the facts or events around the suspected breach, it will usually be appropriate to consult senior officers within </w:t>
      </w:r>
      <w:r w:rsidR="00A0535E" w:rsidRPr="00E97A78">
        <w:rPr>
          <w:rFonts w:cs="Arial"/>
          <w:color w:val="000000"/>
          <w:sz w:val="20"/>
          <w:lang w:eastAsia="en-GB"/>
        </w:rPr>
        <w:t>TPF</w:t>
      </w:r>
      <w:r w:rsidRPr="00E97A78">
        <w:rPr>
          <w:rFonts w:cs="Arial"/>
          <w:color w:val="000000"/>
          <w:sz w:val="20"/>
          <w:lang w:eastAsia="en-GB"/>
        </w:rPr>
        <w:t xml:space="preserve"> in the first instance regarding what has happened. The procedure set out below will be followed for all suspected breaches of the law identified within or brought to the attention of</w:t>
      </w:r>
      <w:r w:rsidR="00093942" w:rsidRPr="00E97A78">
        <w:rPr>
          <w:rFonts w:cs="Arial"/>
          <w:color w:val="000000"/>
          <w:sz w:val="20"/>
          <w:lang w:eastAsia="en-GB"/>
        </w:rPr>
        <w:t xml:space="preserve"> </w:t>
      </w:r>
      <w:r w:rsidR="00E97A78" w:rsidRPr="00E97A78">
        <w:rPr>
          <w:rFonts w:cs="Arial"/>
          <w:color w:val="000000"/>
          <w:sz w:val="20"/>
          <w:lang w:eastAsia="en-GB"/>
        </w:rPr>
        <w:t>TPF Management</w:t>
      </w:r>
      <w:r w:rsidR="006136D5">
        <w:rPr>
          <w:rFonts w:cs="Arial"/>
          <w:color w:val="000000"/>
          <w:sz w:val="20"/>
          <w:lang w:eastAsia="en-GB"/>
        </w:rPr>
        <w:t xml:space="preserve"> who will </w:t>
      </w:r>
      <w:r w:rsidR="00880598">
        <w:rPr>
          <w:rFonts w:cs="Arial"/>
          <w:color w:val="000000"/>
          <w:sz w:val="20"/>
          <w:lang w:eastAsia="en-GB"/>
        </w:rPr>
        <w:t>log the breach and undertake investigation as to materiality</w:t>
      </w:r>
      <w:r w:rsidR="006B7DC9" w:rsidRPr="00E97A78">
        <w:rPr>
          <w:rFonts w:cs="Arial"/>
          <w:color w:val="000000"/>
          <w:sz w:val="20"/>
          <w:lang w:eastAsia="en-GB"/>
        </w:rPr>
        <w:t>.</w:t>
      </w:r>
    </w:p>
    <w:p w14:paraId="58B25B7C" w14:textId="3255B01B" w:rsidR="00897EC2" w:rsidRDefault="006B7DC9" w:rsidP="00026934">
      <w:pPr>
        <w:spacing w:after="160" w:line="259" w:lineRule="auto"/>
        <w:contextualSpacing/>
        <w:jc w:val="both"/>
        <w:rPr>
          <w:rFonts w:cs="Arial"/>
          <w:color w:val="000000"/>
          <w:sz w:val="20"/>
          <w:lang w:eastAsia="en-GB"/>
        </w:rPr>
      </w:pPr>
      <w:r>
        <w:rPr>
          <w:rFonts w:cs="Arial"/>
          <w:color w:val="000000"/>
          <w:sz w:val="20"/>
          <w:lang w:eastAsia="en-GB"/>
        </w:rPr>
        <w:t xml:space="preserve">  </w:t>
      </w:r>
    </w:p>
    <w:p w14:paraId="622B92CC" w14:textId="29EBDE0D" w:rsidR="002D229E" w:rsidRPr="002D229E" w:rsidRDefault="002D229E" w:rsidP="002D229E">
      <w:pPr>
        <w:spacing w:after="160" w:line="259" w:lineRule="auto"/>
        <w:contextualSpacing/>
        <w:jc w:val="both"/>
        <w:rPr>
          <w:rFonts w:cs="Arial"/>
          <w:color w:val="000000"/>
          <w:sz w:val="20"/>
          <w:lang w:eastAsia="en-GB"/>
        </w:rPr>
      </w:pPr>
      <w:r w:rsidRPr="002D229E">
        <w:rPr>
          <w:rFonts w:cs="Arial"/>
          <w:color w:val="000000"/>
          <w:sz w:val="20"/>
          <w:lang w:eastAsia="en-GB"/>
        </w:rPr>
        <w:t xml:space="preserve">A material breach of law must be notified to TPR as soon as reasonably practicable and no later than one month after becoming aware of the breach or likely breach. Where it is considered that a breach is of such significance that TPR is required to intervene as a matter of urgency (for example, serious fraud) the matter should be brought to the attention of TPR </w:t>
      </w:r>
      <w:r w:rsidR="009F03D3">
        <w:rPr>
          <w:rFonts w:cs="Arial"/>
          <w:color w:val="000000"/>
          <w:sz w:val="20"/>
          <w:lang w:eastAsia="en-GB"/>
        </w:rPr>
        <w:t>and other agencies (if applicable)</w:t>
      </w:r>
      <w:r w:rsidR="00663864">
        <w:rPr>
          <w:rFonts w:cs="Arial"/>
          <w:color w:val="000000"/>
          <w:sz w:val="20"/>
          <w:lang w:eastAsia="en-GB"/>
        </w:rPr>
        <w:t xml:space="preserve">, </w:t>
      </w:r>
      <w:r w:rsidRPr="002D229E">
        <w:rPr>
          <w:rFonts w:cs="Arial"/>
          <w:color w:val="000000"/>
          <w:sz w:val="20"/>
          <w:lang w:eastAsia="en-GB"/>
        </w:rPr>
        <w:t xml:space="preserve">immediately. </w:t>
      </w:r>
    </w:p>
    <w:p w14:paraId="5EAA5789" w14:textId="77777777" w:rsidR="005B3A09" w:rsidRDefault="005B3A09" w:rsidP="002D229E">
      <w:pPr>
        <w:spacing w:after="160" w:line="259" w:lineRule="auto"/>
        <w:contextualSpacing/>
        <w:jc w:val="both"/>
        <w:rPr>
          <w:rFonts w:cs="Arial"/>
          <w:color w:val="000000"/>
          <w:sz w:val="20"/>
          <w:lang w:eastAsia="en-GB"/>
        </w:rPr>
      </w:pPr>
    </w:p>
    <w:p w14:paraId="6C5F32F5" w14:textId="3D8FDEF3" w:rsidR="002D229E" w:rsidRDefault="002D229E" w:rsidP="002D229E">
      <w:pPr>
        <w:spacing w:after="160" w:line="259" w:lineRule="auto"/>
        <w:contextualSpacing/>
        <w:jc w:val="both"/>
        <w:rPr>
          <w:rFonts w:cs="Arial"/>
          <w:color w:val="000000"/>
          <w:sz w:val="20"/>
          <w:lang w:eastAsia="en-GB"/>
        </w:rPr>
      </w:pPr>
      <w:r w:rsidRPr="002D229E">
        <w:rPr>
          <w:rFonts w:cs="Arial"/>
          <w:color w:val="000000"/>
          <w:sz w:val="20"/>
          <w:lang w:eastAsia="en-GB"/>
        </w:rPr>
        <w:lastRenderedPageBreak/>
        <w:t xml:space="preserve">Reports must be submitted in writing and can be sent by post or electronically, including by email. Wherever possible reporters should use the standard format available via the Exchange online service on the regulator’s website: </w:t>
      </w:r>
      <w:hyperlink r:id="rId13" w:history="1">
        <w:r w:rsidR="005B3A09" w:rsidRPr="005B3A09">
          <w:rPr>
            <w:rStyle w:val="Hyperlink"/>
            <w:rFonts w:cs="Arial"/>
            <w:sz w:val="20"/>
            <w:lang w:eastAsia="en-GB"/>
          </w:rPr>
          <w:t>http://www.thepensionsregulator.gov.uk/trustees/exchange.aspx</w:t>
        </w:r>
      </w:hyperlink>
      <w:r w:rsidR="005B3A09">
        <w:rPr>
          <w:rFonts w:cs="Arial"/>
          <w:color w:val="000000"/>
          <w:sz w:val="20"/>
          <w:lang w:eastAsia="en-GB"/>
        </w:rPr>
        <w:t xml:space="preserve"> </w:t>
      </w:r>
    </w:p>
    <w:p w14:paraId="19FA1E4F" w14:textId="77777777" w:rsidR="005B3A09" w:rsidRPr="002D229E" w:rsidRDefault="005B3A09" w:rsidP="002D229E">
      <w:pPr>
        <w:spacing w:after="160" w:line="259" w:lineRule="auto"/>
        <w:contextualSpacing/>
        <w:jc w:val="both"/>
        <w:rPr>
          <w:rFonts w:cs="Arial"/>
          <w:color w:val="000000"/>
          <w:sz w:val="20"/>
          <w:lang w:eastAsia="en-GB"/>
        </w:rPr>
      </w:pPr>
    </w:p>
    <w:p w14:paraId="1B32C363" w14:textId="77777777" w:rsidR="002D229E" w:rsidRDefault="002D229E" w:rsidP="002D229E">
      <w:pPr>
        <w:spacing w:after="160" w:line="259" w:lineRule="auto"/>
        <w:contextualSpacing/>
        <w:jc w:val="both"/>
        <w:rPr>
          <w:rFonts w:cs="Arial"/>
          <w:color w:val="000000"/>
          <w:sz w:val="20"/>
          <w:lang w:eastAsia="en-GB"/>
        </w:rPr>
      </w:pPr>
      <w:r w:rsidRPr="002D229E">
        <w:rPr>
          <w:rFonts w:cs="Arial"/>
          <w:color w:val="000000"/>
          <w:sz w:val="20"/>
          <w:lang w:eastAsia="en-GB"/>
        </w:rPr>
        <w:t xml:space="preserve">The report should be dated and include as a minimum: </w:t>
      </w:r>
    </w:p>
    <w:p w14:paraId="057E737A" w14:textId="18E4CFA6"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Full name of the Fund. </w:t>
      </w:r>
    </w:p>
    <w:p w14:paraId="5F20BFDF" w14:textId="3E14C668"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Description of the breach or breaches. </w:t>
      </w:r>
    </w:p>
    <w:p w14:paraId="066DC2D4" w14:textId="4A875EFD"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Any relevant dates. </w:t>
      </w:r>
    </w:p>
    <w:p w14:paraId="3BD7F94F" w14:textId="35056242"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Name of the employer (where known). </w:t>
      </w:r>
    </w:p>
    <w:p w14:paraId="678431AD" w14:textId="52888A2F"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Name, position and contact details of the reporter, and </w:t>
      </w:r>
    </w:p>
    <w:p w14:paraId="55729BDA" w14:textId="782CE354"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 xml:space="preserve">Role of the reporter in relation to the Fund. </w:t>
      </w:r>
    </w:p>
    <w:p w14:paraId="28D1EA84" w14:textId="033B3131" w:rsidR="002D229E" w:rsidRPr="008B1F41" w:rsidRDefault="002D229E" w:rsidP="008B1F41">
      <w:pPr>
        <w:pStyle w:val="ListParagraph"/>
        <w:numPr>
          <w:ilvl w:val="0"/>
          <w:numId w:val="86"/>
        </w:numPr>
        <w:spacing w:after="160" w:line="259" w:lineRule="auto"/>
        <w:contextualSpacing/>
        <w:jc w:val="both"/>
        <w:rPr>
          <w:rFonts w:cs="Arial"/>
          <w:color w:val="000000"/>
          <w:sz w:val="20"/>
          <w:lang w:eastAsia="en-GB"/>
        </w:rPr>
      </w:pPr>
      <w:r w:rsidRPr="008B1F41">
        <w:rPr>
          <w:rFonts w:cs="Arial"/>
          <w:color w:val="000000"/>
          <w:sz w:val="20"/>
          <w:lang w:eastAsia="en-GB"/>
        </w:rPr>
        <w:t>Additional information that would help the regulator</w:t>
      </w:r>
      <w:r w:rsidR="009F03D3">
        <w:rPr>
          <w:rFonts w:cs="Arial"/>
          <w:color w:val="000000"/>
          <w:sz w:val="20"/>
          <w:lang w:eastAsia="en-GB"/>
        </w:rPr>
        <w:t>, including</w:t>
      </w:r>
    </w:p>
    <w:p w14:paraId="181E8825" w14:textId="77777777" w:rsidR="002D229E" w:rsidRPr="008B1F41" w:rsidRDefault="002D229E" w:rsidP="008B1F41">
      <w:pPr>
        <w:pStyle w:val="ListParagraph"/>
        <w:numPr>
          <w:ilvl w:val="0"/>
          <w:numId w:val="87"/>
        </w:numPr>
        <w:spacing w:after="160" w:line="259" w:lineRule="auto"/>
        <w:contextualSpacing/>
        <w:jc w:val="both"/>
        <w:rPr>
          <w:rFonts w:cs="Arial"/>
          <w:color w:val="000000"/>
          <w:sz w:val="20"/>
          <w:lang w:eastAsia="en-GB"/>
        </w:rPr>
      </w:pPr>
      <w:r w:rsidRPr="008B1F41">
        <w:rPr>
          <w:rFonts w:cs="Arial"/>
          <w:color w:val="000000"/>
          <w:sz w:val="20"/>
          <w:lang w:eastAsia="en-GB"/>
        </w:rPr>
        <w:t xml:space="preserve">includes: </w:t>
      </w:r>
    </w:p>
    <w:p w14:paraId="6659C423" w14:textId="10A67F26" w:rsidR="002D229E" w:rsidRPr="00663864" w:rsidRDefault="002D229E" w:rsidP="00663864">
      <w:pPr>
        <w:pStyle w:val="ListParagraph"/>
        <w:numPr>
          <w:ilvl w:val="1"/>
          <w:numId w:val="88"/>
        </w:numPr>
        <w:spacing w:after="160" w:line="259" w:lineRule="auto"/>
        <w:contextualSpacing/>
        <w:jc w:val="both"/>
        <w:rPr>
          <w:rFonts w:cs="Arial"/>
          <w:color w:val="000000"/>
          <w:sz w:val="20"/>
          <w:lang w:eastAsia="en-GB"/>
        </w:rPr>
      </w:pPr>
      <w:r w:rsidRPr="00663864">
        <w:rPr>
          <w:rFonts w:cs="Arial"/>
          <w:color w:val="000000"/>
          <w:sz w:val="20"/>
          <w:lang w:eastAsia="en-GB"/>
        </w:rPr>
        <w:t xml:space="preserve">The reason the breach is thought to be of material significance to the regulator. </w:t>
      </w:r>
    </w:p>
    <w:p w14:paraId="1CC6649C" w14:textId="3C06EA1B" w:rsidR="002D229E" w:rsidRPr="00663864" w:rsidRDefault="002D229E" w:rsidP="00663864">
      <w:pPr>
        <w:pStyle w:val="ListParagraph"/>
        <w:numPr>
          <w:ilvl w:val="1"/>
          <w:numId w:val="88"/>
        </w:numPr>
        <w:spacing w:after="160" w:line="259" w:lineRule="auto"/>
        <w:contextualSpacing/>
        <w:jc w:val="both"/>
        <w:rPr>
          <w:rFonts w:cs="Arial"/>
          <w:color w:val="000000"/>
          <w:sz w:val="20"/>
          <w:lang w:eastAsia="en-GB"/>
        </w:rPr>
      </w:pPr>
      <w:r w:rsidRPr="00663864">
        <w:rPr>
          <w:rFonts w:cs="Arial"/>
          <w:color w:val="000000"/>
          <w:sz w:val="20"/>
          <w:lang w:eastAsia="en-GB"/>
        </w:rPr>
        <w:t xml:space="preserve">The address of the Fund. </w:t>
      </w:r>
    </w:p>
    <w:p w14:paraId="020E6BC0" w14:textId="2BE79B24" w:rsidR="002D229E" w:rsidRPr="00663864" w:rsidRDefault="002D229E" w:rsidP="00663864">
      <w:pPr>
        <w:pStyle w:val="ListParagraph"/>
        <w:numPr>
          <w:ilvl w:val="1"/>
          <w:numId w:val="88"/>
        </w:numPr>
        <w:spacing w:after="160" w:line="259" w:lineRule="auto"/>
        <w:contextualSpacing/>
        <w:jc w:val="both"/>
        <w:rPr>
          <w:rFonts w:cs="Arial"/>
          <w:color w:val="000000"/>
          <w:sz w:val="20"/>
          <w:lang w:eastAsia="en-GB"/>
        </w:rPr>
      </w:pPr>
      <w:r w:rsidRPr="00663864">
        <w:rPr>
          <w:rFonts w:cs="Arial"/>
          <w:color w:val="000000"/>
          <w:sz w:val="20"/>
          <w:lang w:eastAsia="en-GB"/>
        </w:rPr>
        <w:t xml:space="preserve">The contact details of the Fund (if different to the Fund address). </w:t>
      </w:r>
    </w:p>
    <w:p w14:paraId="7E484544" w14:textId="6285C7A2" w:rsidR="002D229E" w:rsidRPr="00663864" w:rsidRDefault="002D229E" w:rsidP="00663864">
      <w:pPr>
        <w:pStyle w:val="ListParagraph"/>
        <w:numPr>
          <w:ilvl w:val="1"/>
          <w:numId w:val="88"/>
        </w:numPr>
        <w:spacing w:after="160" w:line="259" w:lineRule="auto"/>
        <w:contextualSpacing/>
        <w:jc w:val="both"/>
        <w:rPr>
          <w:rFonts w:cs="Arial"/>
          <w:color w:val="000000"/>
          <w:sz w:val="20"/>
          <w:lang w:eastAsia="en-GB"/>
        </w:rPr>
      </w:pPr>
      <w:r w:rsidRPr="00663864">
        <w:rPr>
          <w:rFonts w:cs="Arial"/>
          <w:color w:val="000000"/>
          <w:sz w:val="20"/>
          <w:lang w:eastAsia="en-GB"/>
        </w:rPr>
        <w:t xml:space="preserve">The Fund’s registry number (if available), and </w:t>
      </w:r>
    </w:p>
    <w:p w14:paraId="35963B77" w14:textId="57C9996E" w:rsidR="002D229E" w:rsidRPr="00663864" w:rsidRDefault="002D229E" w:rsidP="00663864">
      <w:pPr>
        <w:pStyle w:val="ListParagraph"/>
        <w:numPr>
          <w:ilvl w:val="1"/>
          <w:numId w:val="88"/>
        </w:numPr>
        <w:spacing w:after="160" w:line="259" w:lineRule="auto"/>
        <w:contextualSpacing/>
        <w:jc w:val="both"/>
        <w:rPr>
          <w:rFonts w:cs="Arial"/>
          <w:color w:val="000000"/>
          <w:sz w:val="20"/>
          <w:lang w:eastAsia="en-GB"/>
        </w:rPr>
      </w:pPr>
      <w:r w:rsidRPr="00663864">
        <w:rPr>
          <w:rFonts w:cs="Arial"/>
          <w:color w:val="000000"/>
          <w:sz w:val="20"/>
          <w:lang w:eastAsia="en-GB"/>
        </w:rPr>
        <w:t xml:space="preserve">Whether the concern has been reported before. </w:t>
      </w:r>
    </w:p>
    <w:p w14:paraId="6E17BF76" w14:textId="5C3D4764" w:rsidR="00FF0EBD" w:rsidRPr="00FF0EBD" w:rsidRDefault="00BC7D37" w:rsidP="00FF0EBD">
      <w:pPr>
        <w:spacing w:after="160" w:line="259" w:lineRule="auto"/>
        <w:contextualSpacing/>
        <w:jc w:val="both"/>
        <w:rPr>
          <w:rFonts w:cs="Arial"/>
          <w:color w:val="000000"/>
          <w:sz w:val="20"/>
          <w:lang w:eastAsia="en-GB"/>
        </w:rPr>
      </w:pPr>
      <w:r>
        <w:rPr>
          <w:rFonts w:cs="Arial"/>
          <w:color w:val="000000"/>
          <w:sz w:val="20"/>
          <w:lang w:eastAsia="en-GB"/>
        </w:rPr>
        <w:t>The report should</w:t>
      </w:r>
      <w:r w:rsidR="00FF0EBD" w:rsidRPr="00FF0EBD">
        <w:rPr>
          <w:rFonts w:cs="Arial"/>
          <w:color w:val="000000"/>
          <w:sz w:val="20"/>
          <w:lang w:eastAsia="en-GB"/>
        </w:rPr>
        <w:t xml:space="preserve"> clearly indicate the seriousness of any breach by marking the submission as urgent where appropriate.</w:t>
      </w:r>
      <w:r w:rsidR="00D42DDC">
        <w:rPr>
          <w:rFonts w:cs="Arial"/>
          <w:color w:val="000000"/>
          <w:sz w:val="20"/>
          <w:lang w:eastAsia="en-GB"/>
        </w:rPr>
        <w:t xml:space="preserve"> </w:t>
      </w:r>
      <w:r w:rsidR="00FF0EBD" w:rsidRPr="00FF0EBD">
        <w:rPr>
          <w:rFonts w:cs="Arial"/>
          <w:color w:val="000000"/>
          <w:sz w:val="20"/>
          <w:lang w:eastAsia="en-GB"/>
        </w:rPr>
        <w:t>It is the responsibility of the reporter to ensure that an acknowledgement of receipt is obtained for any report submitted. The Pensions Regulator (TPR) will acknowledge all reports within five working days of receipt.</w:t>
      </w:r>
    </w:p>
    <w:p w14:paraId="20190363" w14:textId="77777777" w:rsidR="00FF0EBD" w:rsidRPr="00FF0EBD" w:rsidRDefault="00FF0EBD" w:rsidP="00FF0EBD">
      <w:pPr>
        <w:spacing w:after="160" w:line="259" w:lineRule="auto"/>
        <w:contextualSpacing/>
        <w:jc w:val="both"/>
        <w:rPr>
          <w:rFonts w:cs="Arial"/>
          <w:color w:val="000000"/>
          <w:sz w:val="20"/>
          <w:lang w:eastAsia="en-GB"/>
        </w:rPr>
      </w:pPr>
    </w:p>
    <w:p w14:paraId="7AA3A7A1" w14:textId="77777777" w:rsidR="00FF0EBD" w:rsidRPr="00FF0EBD" w:rsidRDefault="00FF0EBD" w:rsidP="00FF0EBD">
      <w:pPr>
        <w:spacing w:after="160" w:line="259" w:lineRule="auto"/>
        <w:contextualSpacing/>
        <w:jc w:val="both"/>
        <w:rPr>
          <w:rFonts w:cs="Arial"/>
          <w:color w:val="000000"/>
          <w:sz w:val="20"/>
          <w:lang w:eastAsia="en-GB"/>
        </w:rPr>
      </w:pPr>
      <w:r w:rsidRPr="00FF0EBD">
        <w:rPr>
          <w:rFonts w:cs="Arial"/>
          <w:color w:val="000000"/>
          <w:sz w:val="20"/>
          <w:lang w:eastAsia="en-GB"/>
        </w:rPr>
        <w:t>Routine updates on the progress of a report are not typically provided, unless TPR requires additional information to support its regulatory functions.</w:t>
      </w:r>
    </w:p>
    <w:p w14:paraId="7362D44E" w14:textId="77777777" w:rsidR="00FF0EBD" w:rsidRPr="00FF0EBD" w:rsidRDefault="00FF0EBD" w:rsidP="00FF0EBD">
      <w:pPr>
        <w:spacing w:after="160" w:line="259" w:lineRule="auto"/>
        <w:contextualSpacing/>
        <w:jc w:val="both"/>
        <w:rPr>
          <w:rFonts w:cs="Arial"/>
          <w:color w:val="000000"/>
          <w:sz w:val="20"/>
          <w:lang w:eastAsia="en-GB"/>
        </w:rPr>
      </w:pPr>
    </w:p>
    <w:p w14:paraId="3177A840" w14:textId="77777777" w:rsidR="00FF0EBD" w:rsidRPr="00FF0EBD" w:rsidRDefault="00FF0EBD" w:rsidP="00FF0EBD">
      <w:pPr>
        <w:spacing w:after="160" w:line="259" w:lineRule="auto"/>
        <w:contextualSpacing/>
        <w:jc w:val="both"/>
        <w:rPr>
          <w:rFonts w:cs="Arial"/>
          <w:color w:val="000000"/>
          <w:sz w:val="20"/>
          <w:lang w:eastAsia="en-GB"/>
        </w:rPr>
      </w:pPr>
      <w:r w:rsidRPr="00FF0EBD">
        <w:rPr>
          <w:rFonts w:cs="Arial"/>
          <w:color w:val="000000"/>
          <w:sz w:val="20"/>
          <w:lang w:eastAsia="en-GB"/>
        </w:rPr>
        <w:t>In instances where dishonesty or other serious misconduct is suspected, reporters should, wherever possible, refrain from conducting checks or inquiries that could alert the individuals involved or compromise any potential investigation.</w:t>
      </w:r>
    </w:p>
    <w:p w14:paraId="484F078A" w14:textId="77777777" w:rsidR="00FF0EBD" w:rsidRDefault="00FF0EBD" w:rsidP="002D229E">
      <w:pPr>
        <w:spacing w:after="160" w:line="259" w:lineRule="auto"/>
        <w:contextualSpacing/>
        <w:jc w:val="both"/>
        <w:rPr>
          <w:rFonts w:cs="Arial"/>
          <w:color w:val="000000"/>
          <w:sz w:val="20"/>
          <w:lang w:eastAsia="en-GB"/>
        </w:rPr>
      </w:pPr>
    </w:p>
    <w:p w14:paraId="41760C50" w14:textId="3433F51C" w:rsidR="002D229E" w:rsidRDefault="002D229E" w:rsidP="002D229E">
      <w:pPr>
        <w:spacing w:after="160" w:line="259" w:lineRule="auto"/>
        <w:contextualSpacing/>
        <w:jc w:val="both"/>
        <w:rPr>
          <w:rFonts w:cs="Arial"/>
          <w:b/>
          <w:bCs/>
          <w:color w:val="000000"/>
          <w:sz w:val="20"/>
          <w:lang w:eastAsia="en-GB"/>
        </w:rPr>
      </w:pPr>
      <w:r w:rsidRPr="006439B8">
        <w:rPr>
          <w:rFonts w:cs="Arial"/>
          <w:b/>
          <w:bCs/>
          <w:color w:val="000000"/>
          <w:sz w:val="20"/>
          <w:lang w:eastAsia="en-GB"/>
        </w:rPr>
        <w:t xml:space="preserve">Whistleblowing </w:t>
      </w:r>
    </w:p>
    <w:p w14:paraId="4B44D61D" w14:textId="77777777" w:rsidR="006439B8" w:rsidRPr="006439B8" w:rsidRDefault="006439B8" w:rsidP="002D229E">
      <w:pPr>
        <w:spacing w:after="160" w:line="259" w:lineRule="auto"/>
        <w:contextualSpacing/>
        <w:jc w:val="both"/>
        <w:rPr>
          <w:rFonts w:cs="Arial"/>
          <w:b/>
          <w:bCs/>
          <w:color w:val="000000"/>
          <w:sz w:val="20"/>
          <w:lang w:eastAsia="en-GB"/>
        </w:rPr>
      </w:pPr>
    </w:p>
    <w:p w14:paraId="2A82749A" w14:textId="77777777" w:rsidR="00220466" w:rsidRPr="00220466" w:rsidRDefault="00220466" w:rsidP="00220466">
      <w:pPr>
        <w:spacing w:after="160" w:line="259" w:lineRule="auto"/>
        <w:contextualSpacing/>
        <w:jc w:val="both"/>
        <w:rPr>
          <w:rFonts w:cs="Arial"/>
          <w:color w:val="000000"/>
          <w:sz w:val="20"/>
          <w:lang w:eastAsia="en-GB"/>
        </w:rPr>
      </w:pPr>
      <w:r w:rsidRPr="00220466">
        <w:rPr>
          <w:rFonts w:cs="Arial"/>
          <w:color w:val="000000"/>
          <w:sz w:val="20"/>
          <w:lang w:eastAsia="en-GB"/>
        </w:rPr>
        <w:t>Under the Pensions Act 2004, there is a statutory obligation to report breaches of the law. In certain circumstances, this duty may require an employee of the Fund to make a whistle-blowing disclosure.</w:t>
      </w:r>
    </w:p>
    <w:p w14:paraId="69C01408" w14:textId="77777777" w:rsidR="00220466" w:rsidRPr="00220466" w:rsidRDefault="00220466" w:rsidP="00220466">
      <w:pPr>
        <w:spacing w:after="160" w:line="259" w:lineRule="auto"/>
        <w:contextualSpacing/>
        <w:jc w:val="both"/>
        <w:rPr>
          <w:rFonts w:cs="Arial"/>
          <w:color w:val="000000"/>
          <w:sz w:val="20"/>
          <w:lang w:eastAsia="en-GB"/>
        </w:rPr>
      </w:pPr>
    </w:p>
    <w:p w14:paraId="08CD59D1" w14:textId="77777777" w:rsidR="00220466" w:rsidRDefault="00220466" w:rsidP="00220466">
      <w:pPr>
        <w:spacing w:after="160" w:line="259" w:lineRule="auto"/>
        <w:contextualSpacing/>
        <w:jc w:val="both"/>
        <w:rPr>
          <w:rFonts w:cs="Arial"/>
          <w:color w:val="000000"/>
          <w:sz w:val="20"/>
          <w:lang w:eastAsia="en-GB"/>
        </w:rPr>
      </w:pPr>
      <w:r w:rsidRPr="00220466">
        <w:rPr>
          <w:rFonts w:cs="Arial"/>
          <w:color w:val="000000"/>
          <w:sz w:val="20"/>
          <w:lang w:eastAsia="en-GB"/>
        </w:rPr>
        <w:t>The Act makes it clear that this statutory duty to report overrides any other obligations, including those related to confidentiality. Making a report in accordance with this duty does not constitute a breach of any such obligations.</w:t>
      </w:r>
    </w:p>
    <w:p w14:paraId="3291ED96" w14:textId="77777777" w:rsidR="000B4FB4" w:rsidRDefault="000B4FB4" w:rsidP="00220466">
      <w:pPr>
        <w:spacing w:after="160" w:line="259" w:lineRule="auto"/>
        <w:contextualSpacing/>
        <w:jc w:val="both"/>
        <w:rPr>
          <w:rFonts w:cs="Arial"/>
          <w:color w:val="000000"/>
          <w:sz w:val="20"/>
          <w:lang w:eastAsia="en-GB"/>
        </w:rPr>
      </w:pPr>
    </w:p>
    <w:p w14:paraId="7774D8BF" w14:textId="6849361E" w:rsidR="000B4FB4" w:rsidRPr="00220466" w:rsidRDefault="00F50046" w:rsidP="00220466">
      <w:pPr>
        <w:spacing w:after="160" w:line="259" w:lineRule="auto"/>
        <w:contextualSpacing/>
        <w:jc w:val="both"/>
        <w:rPr>
          <w:rFonts w:cs="Arial"/>
          <w:color w:val="000000"/>
          <w:sz w:val="20"/>
          <w:lang w:eastAsia="en-GB"/>
        </w:rPr>
      </w:pPr>
      <w:r>
        <w:rPr>
          <w:rFonts w:cs="Arial"/>
          <w:color w:val="000000"/>
          <w:sz w:val="20"/>
          <w:lang w:eastAsia="en-GB"/>
        </w:rPr>
        <w:t>Dundee City Council</w:t>
      </w:r>
      <w:r w:rsidRPr="00F50046">
        <w:rPr>
          <w:rFonts w:cs="Arial"/>
          <w:color w:val="000000"/>
          <w:sz w:val="20"/>
          <w:lang w:eastAsia="en-GB"/>
        </w:rPr>
        <w:t xml:space="preserve"> has its own whistleblowing policy. The Council’s whistleblowing arrangements are managed by </w:t>
      </w:r>
      <w:r w:rsidR="00194AAE">
        <w:rPr>
          <w:rFonts w:cs="Arial"/>
          <w:color w:val="000000"/>
          <w:sz w:val="20"/>
          <w:lang w:eastAsia="en-GB"/>
        </w:rPr>
        <w:t>Corporate Fraud and Internal Audit</w:t>
      </w:r>
      <w:r w:rsidRPr="00F50046">
        <w:rPr>
          <w:rFonts w:cs="Arial"/>
          <w:color w:val="000000"/>
          <w:sz w:val="20"/>
          <w:lang w:eastAsia="en-GB"/>
        </w:rPr>
        <w:t xml:space="preserve">. Any concerns can be reported at </w:t>
      </w:r>
      <w:hyperlink r:id="rId14" w:history="1">
        <w:r w:rsidR="00331DBF" w:rsidRPr="00331DBF">
          <w:rPr>
            <w:rStyle w:val="Hyperlink"/>
            <w:rFonts w:cs="Arial"/>
            <w:sz w:val="20"/>
            <w:lang w:eastAsia="en-GB"/>
          </w:rPr>
          <w:t>https://www.dundeecity.gov.uk/service-area/corporate-services/corporate-finance/whistleblowing-report-of-suspected-wrongdoing</w:t>
        </w:r>
      </w:hyperlink>
    </w:p>
    <w:p w14:paraId="48FB5169" w14:textId="77777777" w:rsidR="00220466" w:rsidRPr="00220466" w:rsidRDefault="00220466" w:rsidP="00220466">
      <w:pPr>
        <w:spacing w:after="160" w:line="259" w:lineRule="auto"/>
        <w:contextualSpacing/>
        <w:jc w:val="both"/>
        <w:rPr>
          <w:rFonts w:cs="Arial"/>
          <w:color w:val="000000"/>
          <w:sz w:val="20"/>
          <w:lang w:eastAsia="en-GB"/>
        </w:rPr>
      </w:pPr>
    </w:p>
    <w:p w14:paraId="75A6B466" w14:textId="77777777" w:rsidR="00354C0D" w:rsidRDefault="00220466" w:rsidP="00354C0D">
      <w:pPr>
        <w:spacing w:after="160" w:line="259" w:lineRule="auto"/>
        <w:contextualSpacing/>
        <w:jc w:val="both"/>
        <w:rPr>
          <w:rFonts w:cs="Arial"/>
          <w:color w:val="000000"/>
          <w:sz w:val="20"/>
          <w:lang w:eastAsia="en-GB"/>
        </w:rPr>
      </w:pPr>
      <w:r w:rsidRPr="00220466">
        <w:rPr>
          <w:rFonts w:cs="Arial"/>
          <w:color w:val="000000"/>
          <w:sz w:val="20"/>
          <w:lang w:eastAsia="en-GB"/>
        </w:rPr>
        <w:t>In fulfilling its responsibilities under this Breaches of Law Policy, the Fund will ensure full compliance with the Employment Rights Act 1996, thereby safeguarding any employee who makes a whistle-blowing disclosure to TPR.</w:t>
      </w:r>
      <w:r w:rsidR="00354C0D" w:rsidRPr="00354C0D">
        <w:rPr>
          <w:rFonts w:cs="Arial"/>
          <w:color w:val="000000"/>
          <w:sz w:val="20"/>
          <w:lang w:eastAsia="en-GB"/>
        </w:rPr>
        <w:t xml:space="preserve"> </w:t>
      </w:r>
    </w:p>
    <w:p w14:paraId="64C13CE5" w14:textId="77777777" w:rsidR="00354C0D" w:rsidRDefault="00354C0D" w:rsidP="00354C0D">
      <w:pPr>
        <w:spacing w:after="160" w:line="259" w:lineRule="auto"/>
        <w:contextualSpacing/>
        <w:jc w:val="both"/>
        <w:rPr>
          <w:rFonts w:cs="Arial"/>
          <w:color w:val="000000"/>
          <w:sz w:val="20"/>
          <w:lang w:eastAsia="en-GB"/>
        </w:rPr>
      </w:pPr>
    </w:p>
    <w:p w14:paraId="6A8DD180" w14:textId="5F2009D6" w:rsidR="00354C0D" w:rsidRPr="00220466" w:rsidRDefault="00354C0D" w:rsidP="00354C0D">
      <w:pPr>
        <w:spacing w:after="160" w:line="259" w:lineRule="auto"/>
        <w:contextualSpacing/>
        <w:jc w:val="both"/>
        <w:rPr>
          <w:rFonts w:cs="Arial"/>
          <w:color w:val="000000"/>
          <w:sz w:val="20"/>
          <w:lang w:eastAsia="en-GB"/>
        </w:rPr>
      </w:pPr>
      <w:r>
        <w:rPr>
          <w:rFonts w:cs="Arial"/>
          <w:color w:val="000000"/>
          <w:sz w:val="20"/>
          <w:lang w:eastAsia="en-GB"/>
        </w:rPr>
        <w:t>T</w:t>
      </w:r>
      <w:r w:rsidRPr="00220466">
        <w:rPr>
          <w:rFonts w:cs="Arial"/>
          <w:color w:val="000000"/>
          <w:sz w:val="20"/>
          <w:lang w:eastAsia="en-GB"/>
        </w:rPr>
        <w:t xml:space="preserve">he duty to report </w:t>
      </w:r>
      <w:r>
        <w:rPr>
          <w:rFonts w:cs="Arial"/>
          <w:color w:val="000000"/>
          <w:sz w:val="20"/>
          <w:lang w:eastAsia="en-GB"/>
        </w:rPr>
        <w:t xml:space="preserve">however, </w:t>
      </w:r>
      <w:r w:rsidRPr="00220466">
        <w:rPr>
          <w:rFonts w:cs="Arial"/>
          <w:color w:val="000000"/>
          <w:sz w:val="20"/>
          <w:lang w:eastAsia="en-GB"/>
        </w:rPr>
        <w:t>does not override legal privilege. This means that oral and written communications between the Fund, the Pensions Committee or Pension Board, and a professional legal adviser remain protected and are not subject to disclosure.</w:t>
      </w:r>
    </w:p>
    <w:p w14:paraId="5DAB00BA" w14:textId="77777777" w:rsidR="00354C0D" w:rsidRPr="00220466" w:rsidRDefault="00354C0D" w:rsidP="00354C0D">
      <w:pPr>
        <w:spacing w:after="160" w:line="259" w:lineRule="auto"/>
        <w:contextualSpacing/>
        <w:jc w:val="both"/>
        <w:rPr>
          <w:rFonts w:cs="Arial"/>
          <w:color w:val="000000"/>
          <w:sz w:val="20"/>
          <w:lang w:eastAsia="en-GB"/>
        </w:rPr>
      </w:pPr>
    </w:p>
    <w:p w14:paraId="57D01E7F" w14:textId="0447C8A0" w:rsidR="002D229E" w:rsidRPr="00B04F9D" w:rsidRDefault="002D229E" w:rsidP="00220466">
      <w:pPr>
        <w:spacing w:after="160" w:line="259" w:lineRule="auto"/>
        <w:contextualSpacing/>
        <w:jc w:val="both"/>
        <w:rPr>
          <w:rFonts w:cs="Arial"/>
          <w:color w:val="000000"/>
          <w:sz w:val="20"/>
          <w:lang w:eastAsia="en-GB"/>
        </w:rPr>
      </w:pPr>
    </w:p>
    <w:sectPr w:rsidR="002D229E" w:rsidRPr="00B04F9D" w:rsidSect="007D61A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1453" w14:textId="77777777" w:rsidR="00B27C0B" w:rsidRDefault="00B27C0B" w:rsidP="002532D7">
      <w:r>
        <w:separator/>
      </w:r>
    </w:p>
  </w:endnote>
  <w:endnote w:type="continuationSeparator" w:id="0">
    <w:p w14:paraId="655B985B" w14:textId="77777777" w:rsidR="00B27C0B" w:rsidRDefault="00B27C0B" w:rsidP="002532D7">
      <w:r>
        <w:continuationSeparator/>
      </w:r>
    </w:p>
  </w:endnote>
  <w:endnote w:type="continuationNotice" w:id="1">
    <w:p w14:paraId="032CB59F" w14:textId="77777777" w:rsidR="00B27C0B" w:rsidRDefault="00B2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1A31" w14:textId="36C8DBEC" w:rsidR="003D2E14" w:rsidRPr="003D2E14" w:rsidRDefault="003D2E14">
    <w:pPr>
      <w:pStyle w:val="Footer"/>
      <w:rPr>
        <w:sz w:val="16"/>
        <w:szCs w:val="16"/>
      </w:rPr>
    </w:pPr>
    <w:r>
      <w:rPr>
        <w:sz w:val="16"/>
        <w:szCs w:val="16"/>
      </w:rPr>
      <w:t>262-2025-</w:t>
    </w:r>
    <w:r w:rsidR="00195939">
      <w:rPr>
        <w:sz w:val="16"/>
        <w:szCs w:val="16"/>
      </w:rPr>
      <w:t>BREACH POLICY-220925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3E1E" w14:textId="77777777" w:rsidR="00B27C0B" w:rsidRDefault="00B27C0B" w:rsidP="002532D7">
      <w:r>
        <w:separator/>
      </w:r>
    </w:p>
  </w:footnote>
  <w:footnote w:type="continuationSeparator" w:id="0">
    <w:p w14:paraId="2EB647A2" w14:textId="77777777" w:rsidR="00B27C0B" w:rsidRDefault="00B27C0B" w:rsidP="002532D7">
      <w:r>
        <w:continuationSeparator/>
      </w:r>
    </w:p>
  </w:footnote>
  <w:footnote w:type="continuationNotice" w:id="1">
    <w:p w14:paraId="3262BD2E" w14:textId="77777777" w:rsidR="00B27C0B" w:rsidRDefault="00B27C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091"/>
    <w:multiLevelType w:val="hybridMultilevel"/>
    <w:tmpl w:val="D2C2E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44E2"/>
    <w:multiLevelType w:val="hybridMultilevel"/>
    <w:tmpl w:val="AF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D235F"/>
    <w:multiLevelType w:val="hybridMultilevel"/>
    <w:tmpl w:val="1D9096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272C43"/>
    <w:multiLevelType w:val="multilevel"/>
    <w:tmpl w:val="BA968382"/>
    <w:lvl w:ilvl="0">
      <w:start w:val="1"/>
      <w:numFmt w:val="decimal"/>
      <w:lvlText w:val="%1"/>
      <w:lvlJc w:val="left"/>
      <w:pPr>
        <w:ind w:left="720" w:hanging="72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0AB74D3B"/>
    <w:multiLevelType w:val="hybridMultilevel"/>
    <w:tmpl w:val="2118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4E6A76"/>
    <w:multiLevelType w:val="hybridMultilevel"/>
    <w:tmpl w:val="F0B6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80170"/>
    <w:multiLevelType w:val="hybridMultilevel"/>
    <w:tmpl w:val="E384D17A"/>
    <w:lvl w:ilvl="0" w:tplc="08090001">
      <w:start w:val="1"/>
      <w:numFmt w:val="bullet"/>
      <w:lvlText w:val=""/>
      <w:lvlJc w:val="left"/>
      <w:pPr>
        <w:ind w:left="720" w:hanging="360"/>
      </w:pPr>
      <w:rPr>
        <w:rFonts w:ascii="Symbol" w:hAnsi="Symbol" w:hint="default"/>
      </w:rPr>
    </w:lvl>
    <w:lvl w:ilvl="1" w:tplc="F00EE71E">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F2430"/>
    <w:multiLevelType w:val="hybridMultilevel"/>
    <w:tmpl w:val="D9204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F36B3"/>
    <w:multiLevelType w:val="hybridMultilevel"/>
    <w:tmpl w:val="63FC2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B161D"/>
    <w:multiLevelType w:val="hybridMultilevel"/>
    <w:tmpl w:val="027C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BB5752"/>
    <w:multiLevelType w:val="hybridMultilevel"/>
    <w:tmpl w:val="6742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811713"/>
    <w:multiLevelType w:val="hybridMultilevel"/>
    <w:tmpl w:val="ED92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20C77"/>
    <w:multiLevelType w:val="hybridMultilevel"/>
    <w:tmpl w:val="E89A03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78F0966"/>
    <w:multiLevelType w:val="hybridMultilevel"/>
    <w:tmpl w:val="6396D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1C1138"/>
    <w:multiLevelType w:val="hybridMultilevel"/>
    <w:tmpl w:val="73E4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93370"/>
    <w:multiLevelType w:val="hybridMultilevel"/>
    <w:tmpl w:val="0DC4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980B34"/>
    <w:multiLevelType w:val="hybridMultilevel"/>
    <w:tmpl w:val="03984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C248AD"/>
    <w:multiLevelType w:val="hybridMultilevel"/>
    <w:tmpl w:val="8E945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6E0A3F"/>
    <w:multiLevelType w:val="hybridMultilevel"/>
    <w:tmpl w:val="A3A8F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57759A"/>
    <w:multiLevelType w:val="hybridMultilevel"/>
    <w:tmpl w:val="B366F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B116F1"/>
    <w:multiLevelType w:val="hybridMultilevel"/>
    <w:tmpl w:val="B604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8C6977"/>
    <w:multiLevelType w:val="hybridMultilevel"/>
    <w:tmpl w:val="9844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8520DD"/>
    <w:multiLevelType w:val="hybridMultilevel"/>
    <w:tmpl w:val="C88C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F255C2"/>
    <w:multiLevelType w:val="hybridMultilevel"/>
    <w:tmpl w:val="57EC5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017C81"/>
    <w:multiLevelType w:val="hybridMultilevel"/>
    <w:tmpl w:val="4ABC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7A549A"/>
    <w:multiLevelType w:val="hybridMultilevel"/>
    <w:tmpl w:val="CC684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8D0D29"/>
    <w:multiLevelType w:val="hybridMultilevel"/>
    <w:tmpl w:val="2234B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3E6589"/>
    <w:multiLevelType w:val="hybridMultilevel"/>
    <w:tmpl w:val="15A6E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9548A1"/>
    <w:multiLevelType w:val="hybridMultilevel"/>
    <w:tmpl w:val="0184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E239DD"/>
    <w:multiLevelType w:val="hybridMultilevel"/>
    <w:tmpl w:val="9CB0AF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4124344"/>
    <w:multiLevelType w:val="hybridMultilevel"/>
    <w:tmpl w:val="87A8E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45E2704"/>
    <w:multiLevelType w:val="hybridMultilevel"/>
    <w:tmpl w:val="22AEB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546F51"/>
    <w:multiLevelType w:val="hybridMultilevel"/>
    <w:tmpl w:val="8DD22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37656B46"/>
    <w:multiLevelType w:val="hybridMultilevel"/>
    <w:tmpl w:val="74CAD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A0D3F8B"/>
    <w:multiLevelType w:val="hybridMultilevel"/>
    <w:tmpl w:val="07129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2E301B"/>
    <w:multiLevelType w:val="hybridMultilevel"/>
    <w:tmpl w:val="5014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60434C"/>
    <w:multiLevelType w:val="hybridMultilevel"/>
    <w:tmpl w:val="EDEC3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D615BB"/>
    <w:multiLevelType w:val="hybridMultilevel"/>
    <w:tmpl w:val="C99A9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111698E"/>
    <w:multiLevelType w:val="hybridMultilevel"/>
    <w:tmpl w:val="A9CEC24C"/>
    <w:lvl w:ilvl="0" w:tplc="08090001">
      <w:start w:val="1"/>
      <w:numFmt w:val="bullet"/>
      <w:lvlText w:val=""/>
      <w:lvlJc w:val="left"/>
      <w:pPr>
        <w:ind w:left="1080" w:hanging="360"/>
      </w:pPr>
      <w:rPr>
        <w:rFonts w:ascii="Symbol" w:hAnsi="Symbol" w:hint="default"/>
      </w:rPr>
    </w:lvl>
    <w:lvl w:ilvl="1" w:tplc="7ED4107C">
      <w:numFmt w:val="bullet"/>
      <w:lvlText w:val="•"/>
      <w:lvlJc w:val="left"/>
      <w:pPr>
        <w:ind w:left="1800" w:hanging="360"/>
      </w:pPr>
      <w:rPr>
        <w:rFonts w:ascii="Arial" w:eastAsia="Times New Roman" w:hAnsi="Arial" w:cs="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1DB2EEE"/>
    <w:multiLevelType w:val="hybridMultilevel"/>
    <w:tmpl w:val="2AD4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54659E"/>
    <w:multiLevelType w:val="hybridMultilevel"/>
    <w:tmpl w:val="33B2B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5633A6C"/>
    <w:multiLevelType w:val="hybridMultilevel"/>
    <w:tmpl w:val="DF567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5FB0072"/>
    <w:multiLevelType w:val="hybridMultilevel"/>
    <w:tmpl w:val="8CDA3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6B95CDD"/>
    <w:multiLevelType w:val="hybridMultilevel"/>
    <w:tmpl w:val="BF5EF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7722F0C"/>
    <w:multiLevelType w:val="hybridMultilevel"/>
    <w:tmpl w:val="5BF65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7B409D7"/>
    <w:multiLevelType w:val="hybridMultilevel"/>
    <w:tmpl w:val="4D9A7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8750173"/>
    <w:multiLevelType w:val="hybridMultilevel"/>
    <w:tmpl w:val="6C22D3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 w15:restartNumberingAfterBreak="0">
    <w:nsid w:val="48937A85"/>
    <w:multiLevelType w:val="hybridMultilevel"/>
    <w:tmpl w:val="494A2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B22030"/>
    <w:multiLevelType w:val="hybridMultilevel"/>
    <w:tmpl w:val="3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E32B38"/>
    <w:multiLevelType w:val="hybridMultilevel"/>
    <w:tmpl w:val="A7085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B0D712F"/>
    <w:multiLevelType w:val="hybridMultilevel"/>
    <w:tmpl w:val="E7D68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C523805"/>
    <w:multiLevelType w:val="hybridMultilevel"/>
    <w:tmpl w:val="5DBEB3A0"/>
    <w:lvl w:ilvl="0" w:tplc="5FEC437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CB57E1E"/>
    <w:multiLevelType w:val="hybridMultilevel"/>
    <w:tmpl w:val="211A6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DB2615"/>
    <w:multiLevelType w:val="hybridMultilevel"/>
    <w:tmpl w:val="53C40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D975CD2"/>
    <w:multiLevelType w:val="hybridMultilevel"/>
    <w:tmpl w:val="39F26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DDC2DA4"/>
    <w:multiLevelType w:val="hybridMultilevel"/>
    <w:tmpl w:val="6C6E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EA41F3D"/>
    <w:multiLevelType w:val="hybridMultilevel"/>
    <w:tmpl w:val="5D0E5C6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7" w15:restartNumberingAfterBreak="0">
    <w:nsid w:val="502D1917"/>
    <w:multiLevelType w:val="hybridMultilevel"/>
    <w:tmpl w:val="6986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5EF6F79"/>
    <w:multiLevelType w:val="hybridMultilevel"/>
    <w:tmpl w:val="282A5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80178DF"/>
    <w:multiLevelType w:val="hybridMultilevel"/>
    <w:tmpl w:val="A89CD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8C11AE3"/>
    <w:multiLevelType w:val="hybridMultilevel"/>
    <w:tmpl w:val="4F9A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93768B1"/>
    <w:multiLevelType w:val="hybridMultilevel"/>
    <w:tmpl w:val="16A8A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A246D53"/>
    <w:multiLevelType w:val="hybridMultilevel"/>
    <w:tmpl w:val="D49E4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26269A"/>
    <w:multiLevelType w:val="hybridMultilevel"/>
    <w:tmpl w:val="4830AA7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4" w15:restartNumberingAfterBreak="0">
    <w:nsid w:val="5F3C49EA"/>
    <w:multiLevelType w:val="hybridMultilevel"/>
    <w:tmpl w:val="E38E7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0445DC1"/>
    <w:multiLevelType w:val="hybridMultilevel"/>
    <w:tmpl w:val="0E58B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5327810"/>
    <w:multiLevelType w:val="hybridMultilevel"/>
    <w:tmpl w:val="B17C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CE4C2F"/>
    <w:multiLevelType w:val="hybridMultilevel"/>
    <w:tmpl w:val="FAD8F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6CE4C69"/>
    <w:multiLevelType w:val="hybridMultilevel"/>
    <w:tmpl w:val="22FC7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6E66514"/>
    <w:multiLevelType w:val="hybridMultilevel"/>
    <w:tmpl w:val="33080600"/>
    <w:lvl w:ilvl="0" w:tplc="FFFFFFFF">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imes New Roman" w:hAnsi="Arial" w:cs="Arial" w:hint="default"/>
      </w:rPr>
    </w:lvl>
    <w:lvl w:ilvl="2" w:tplc="7ED4107C">
      <w:numFmt w:val="bullet"/>
      <w:lvlText w:val="•"/>
      <w:lvlJc w:val="left"/>
      <w:pPr>
        <w:ind w:left="2520" w:hanging="360"/>
      </w:pPr>
      <w:rPr>
        <w:rFonts w:ascii="Arial" w:eastAsia="Times New Roman" w:hAnsi="Arial" w:cs="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67BB4E1F"/>
    <w:multiLevelType w:val="hybridMultilevel"/>
    <w:tmpl w:val="99A6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8BD7602"/>
    <w:multiLevelType w:val="hybridMultilevel"/>
    <w:tmpl w:val="1E9E1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8C8061D"/>
    <w:multiLevelType w:val="hybridMultilevel"/>
    <w:tmpl w:val="522C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9773E80"/>
    <w:multiLevelType w:val="hybridMultilevel"/>
    <w:tmpl w:val="F0849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A6D20A9"/>
    <w:multiLevelType w:val="hybridMultilevel"/>
    <w:tmpl w:val="5DE6C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AF050CD"/>
    <w:multiLevelType w:val="hybridMultilevel"/>
    <w:tmpl w:val="1558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F21509"/>
    <w:multiLevelType w:val="hybridMultilevel"/>
    <w:tmpl w:val="3F027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B544DF3"/>
    <w:multiLevelType w:val="hybridMultilevel"/>
    <w:tmpl w:val="38125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924B44"/>
    <w:multiLevelType w:val="hybridMultilevel"/>
    <w:tmpl w:val="5FE41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E090FB1"/>
    <w:multiLevelType w:val="hybridMultilevel"/>
    <w:tmpl w:val="45787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E255020"/>
    <w:multiLevelType w:val="hybridMultilevel"/>
    <w:tmpl w:val="4C42D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0FE7E1D"/>
    <w:multiLevelType w:val="hybridMultilevel"/>
    <w:tmpl w:val="E40E6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9C3221"/>
    <w:multiLevelType w:val="hybridMultilevel"/>
    <w:tmpl w:val="A840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6144104"/>
    <w:multiLevelType w:val="hybridMultilevel"/>
    <w:tmpl w:val="D9C2A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EA4B34"/>
    <w:multiLevelType w:val="hybridMultilevel"/>
    <w:tmpl w:val="849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84955AF"/>
    <w:multiLevelType w:val="hybridMultilevel"/>
    <w:tmpl w:val="B1BAD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9102EEF"/>
    <w:multiLevelType w:val="hybridMultilevel"/>
    <w:tmpl w:val="AB14B408"/>
    <w:lvl w:ilvl="0" w:tplc="7ED4107C">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7" w15:restartNumberingAfterBreak="0">
    <w:nsid w:val="7B025945"/>
    <w:multiLevelType w:val="hybridMultilevel"/>
    <w:tmpl w:val="F066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B7A4FE9"/>
    <w:multiLevelType w:val="hybridMultilevel"/>
    <w:tmpl w:val="B8F8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784552">
    <w:abstractNumId w:val="3"/>
  </w:num>
  <w:num w:numId="2" w16cid:durableId="1294798446">
    <w:abstractNumId w:val="56"/>
  </w:num>
  <w:num w:numId="3" w16cid:durableId="648826639">
    <w:abstractNumId w:val="7"/>
  </w:num>
  <w:num w:numId="4" w16cid:durableId="1513254525">
    <w:abstractNumId w:val="55"/>
  </w:num>
  <w:num w:numId="5" w16cid:durableId="282152254">
    <w:abstractNumId w:val="16"/>
  </w:num>
  <w:num w:numId="6" w16cid:durableId="629632804">
    <w:abstractNumId w:val="20"/>
  </w:num>
  <w:num w:numId="7" w16cid:durableId="361052322">
    <w:abstractNumId w:val="13"/>
  </w:num>
  <w:num w:numId="8" w16cid:durableId="168762265">
    <w:abstractNumId w:val="35"/>
  </w:num>
  <w:num w:numId="9" w16cid:durableId="652222879">
    <w:abstractNumId w:val="62"/>
  </w:num>
  <w:num w:numId="10" w16cid:durableId="2034989846">
    <w:abstractNumId w:val="77"/>
  </w:num>
  <w:num w:numId="11" w16cid:durableId="749498326">
    <w:abstractNumId w:val="81"/>
  </w:num>
  <w:num w:numId="12" w16cid:durableId="214900829">
    <w:abstractNumId w:val="24"/>
  </w:num>
  <w:num w:numId="13" w16cid:durableId="546069593">
    <w:abstractNumId w:val="59"/>
  </w:num>
  <w:num w:numId="14" w16cid:durableId="274989784">
    <w:abstractNumId w:val="73"/>
  </w:num>
  <w:num w:numId="15" w16cid:durableId="1634482040">
    <w:abstractNumId w:val="88"/>
  </w:num>
  <w:num w:numId="16" w16cid:durableId="212429584">
    <w:abstractNumId w:val="34"/>
  </w:num>
  <w:num w:numId="17" w16cid:durableId="1758092000">
    <w:abstractNumId w:val="36"/>
  </w:num>
  <w:num w:numId="18" w16cid:durableId="1640767276">
    <w:abstractNumId w:val="44"/>
  </w:num>
  <w:num w:numId="19" w16cid:durableId="2062092572">
    <w:abstractNumId w:val="80"/>
  </w:num>
  <w:num w:numId="20" w16cid:durableId="1475290832">
    <w:abstractNumId w:val="72"/>
  </w:num>
  <w:num w:numId="21" w16cid:durableId="1945068937">
    <w:abstractNumId w:val="68"/>
  </w:num>
  <w:num w:numId="22" w16cid:durableId="1106313464">
    <w:abstractNumId w:val="41"/>
  </w:num>
  <w:num w:numId="23" w16cid:durableId="1149127997">
    <w:abstractNumId w:val="22"/>
  </w:num>
  <w:num w:numId="24" w16cid:durableId="427433451">
    <w:abstractNumId w:val="82"/>
  </w:num>
  <w:num w:numId="25" w16cid:durableId="677463695">
    <w:abstractNumId w:val="42"/>
  </w:num>
  <w:num w:numId="26" w16cid:durableId="114174745">
    <w:abstractNumId w:val="57"/>
  </w:num>
  <w:num w:numId="27" w16cid:durableId="1906530201">
    <w:abstractNumId w:val="17"/>
  </w:num>
  <w:num w:numId="28" w16cid:durableId="753672505">
    <w:abstractNumId w:val="70"/>
  </w:num>
  <w:num w:numId="29" w16cid:durableId="996879532">
    <w:abstractNumId w:val="23"/>
  </w:num>
  <w:num w:numId="30" w16cid:durableId="1048646263">
    <w:abstractNumId w:val="60"/>
  </w:num>
  <w:num w:numId="31" w16cid:durableId="1469518556">
    <w:abstractNumId w:val="47"/>
  </w:num>
  <w:num w:numId="32" w16cid:durableId="1354112649">
    <w:abstractNumId w:val="40"/>
  </w:num>
  <w:num w:numId="33" w16cid:durableId="1564367828">
    <w:abstractNumId w:val="26"/>
  </w:num>
  <w:num w:numId="34" w16cid:durableId="158084565">
    <w:abstractNumId w:val="10"/>
  </w:num>
  <w:num w:numId="35" w16cid:durableId="178743331">
    <w:abstractNumId w:val="33"/>
  </w:num>
  <w:num w:numId="36" w16cid:durableId="695468875">
    <w:abstractNumId w:val="1"/>
  </w:num>
  <w:num w:numId="37" w16cid:durableId="1343555322">
    <w:abstractNumId w:val="78"/>
  </w:num>
  <w:num w:numId="38" w16cid:durableId="2020891673">
    <w:abstractNumId w:val="21"/>
  </w:num>
  <w:num w:numId="39" w16cid:durableId="258485179">
    <w:abstractNumId w:val="30"/>
  </w:num>
  <w:num w:numId="40" w16cid:durableId="1804349738">
    <w:abstractNumId w:val="53"/>
  </w:num>
  <w:num w:numId="41" w16cid:durableId="1974942102">
    <w:abstractNumId w:val="18"/>
  </w:num>
  <w:num w:numId="42" w16cid:durableId="784734748">
    <w:abstractNumId w:val="43"/>
  </w:num>
  <w:num w:numId="43" w16cid:durableId="673147641">
    <w:abstractNumId w:val="31"/>
  </w:num>
  <w:num w:numId="44" w16cid:durableId="1311594689">
    <w:abstractNumId w:val="14"/>
  </w:num>
  <w:num w:numId="45" w16cid:durableId="244153359">
    <w:abstractNumId w:val="28"/>
  </w:num>
  <w:num w:numId="46" w16cid:durableId="1898320372">
    <w:abstractNumId w:val="46"/>
  </w:num>
  <w:num w:numId="47" w16cid:durableId="860584467">
    <w:abstractNumId w:val="74"/>
  </w:num>
  <w:num w:numId="48" w16cid:durableId="754399639">
    <w:abstractNumId w:val="51"/>
  </w:num>
  <w:num w:numId="49" w16cid:durableId="985890227">
    <w:abstractNumId w:val="38"/>
  </w:num>
  <w:num w:numId="50" w16cid:durableId="115607093">
    <w:abstractNumId w:val="54"/>
  </w:num>
  <w:num w:numId="51" w16cid:durableId="1457678015">
    <w:abstractNumId w:val="58"/>
  </w:num>
  <w:num w:numId="52" w16cid:durableId="1577202586">
    <w:abstractNumId w:val="64"/>
  </w:num>
  <w:num w:numId="53" w16cid:durableId="1411344523">
    <w:abstractNumId w:val="85"/>
  </w:num>
  <w:num w:numId="54" w16cid:durableId="353389311">
    <w:abstractNumId w:val="67"/>
  </w:num>
  <w:num w:numId="55" w16cid:durableId="1091394193">
    <w:abstractNumId w:val="75"/>
  </w:num>
  <w:num w:numId="56" w16cid:durableId="238835808">
    <w:abstractNumId w:val="76"/>
  </w:num>
  <w:num w:numId="57" w16cid:durableId="1270774246">
    <w:abstractNumId w:val="65"/>
  </w:num>
  <w:num w:numId="58" w16cid:durableId="1939482731">
    <w:abstractNumId w:val="19"/>
  </w:num>
  <w:num w:numId="59" w16cid:durableId="920019918">
    <w:abstractNumId w:val="87"/>
  </w:num>
  <w:num w:numId="60" w16cid:durableId="1359314057">
    <w:abstractNumId w:val="83"/>
  </w:num>
  <w:num w:numId="61" w16cid:durableId="1150828199">
    <w:abstractNumId w:val="9"/>
  </w:num>
  <w:num w:numId="62" w16cid:durableId="438376692">
    <w:abstractNumId w:val="61"/>
  </w:num>
  <w:num w:numId="63" w16cid:durableId="1489639492">
    <w:abstractNumId w:val="52"/>
  </w:num>
  <w:num w:numId="64" w16cid:durableId="1000088102">
    <w:abstractNumId w:val="37"/>
  </w:num>
  <w:num w:numId="65" w16cid:durableId="202519443">
    <w:abstractNumId w:val="25"/>
  </w:num>
  <w:num w:numId="66" w16cid:durableId="1156800923">
    <w:abstractNumId w:val="15"/>
  </w:num>
  <w:num w:numId="67" w16cid:durableId="1881815836">
    <w:abstractNumId w:val="39"/>
  </w:num>
  <w:num w:numId="68" w16cid:durableId="1757045910">
    <w:abstractNumId w:val="4"/>
  </w:num>
  <w:num w:numId="69" w16cid:durableId="1973906508">
    <w:abstractNumId w:val="84"/>
  </w:num>
  <w:num w:numId="70" w16cid:durableId="1190681493">
    <w:abstractNumId w:val="79"/>
  </w:num>
  <w:num w:numId="71" w16cid:durableId="84152694">
    <w:abstractNumId w:val="5"/>
  </w:num>
  <w:num w:numId="72" w16cid:durableId="1744989429">
    <w:abstractNumId w:val="49"/>
  </w:num>
  <w:num w:numId="73" w16cid:durableId="843863685">
    <w:abstractNumId w:val="71"/>
  </w:num>
  <w:num w:numId="74" w16cid:durableId="124852537">
    <w:abstractNumId w:val="45"/>
  </w:num>
  <w:num w:numId="75" w16cid:durableId="2133087264">
    <w:abstractNumId w:val="8"/>
  </w:num>
  <w:num w:numId="76" w16cid:durableId="1089697884">
    <w:abstractNumId w:val="27"/>
  </w:num>
  <w:num w:numId="77" w16cid:durableId="1673489930">
    <w:abstractNumId w:val="32"/>
  </w:num>
  <w:num w:numId="78" w16cid:durableId="23019871">
    <w:abstractNumId w:val="69"/>
  </w:num>
  <w:num w:numId="79" w16cid:durableId="1265722734">
    <w:abstractNumId w:val="86"/>
  </w:num>
  <w:num w:numId="80" w16cid:durableId="1952083722">
    <w:abstractNumId w:val="12"/>
  </w:num>
  <w:num w:numId="81" w16cid:durableId="1591964304">
    <w:abstractNumId w:val="50"/>
  </w:num>
  <w:num w:numId="82" w16cid:durableId="1521774583">
    <w:abstractNumId w:val="29"/>
  </w:num>
  <w:num w:numId="83" w16cid:durableId="269751582">
    <w:abstractNumId w:val="48"/>
  </w:num>
  <w:num w:numId="84" w16cid:durableId="1906060266">
    <w:abstractNumId w:val="66"/>
  </w:num>
  <w:num w:numId="85" w16cid:durableId="1570193485">
    <w:abstractNumId w:val="6"/>
  </w:num>
  <w:num w:numId="86" w16cid:durableId="677319174">
    <w:abstractNumId w:val="11"/>
  </w:num>
  <w:num w:numId="87" w16cid:durableId="725570251">
    <w:abstractNumId w:val="0"/>
  </w:num>
  <w:num w:numId="88" w16cid:durableId="864294069">
    <w:abstractNumId w:val="2"/>
  </w:num>
  <w:num w:numId="89" w16cid:durableId="142214309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A6"/>
    <w:rsid w:val="00003D13"/>
    <w:rsid w:val="00014D1D"/>
    <w:rsid w:val="00023622"/>
    <w:rsid w:val="00026934"/>
    <w:rsid w:val="0003015F"/>
    <w:rsid w:val="0003116C"/>
    <w:rsid w:val="00035B5A"/>
    <w:rsid w:val="00044142"/>
    <w:rsid w:val="00046CAF"/>
    <w:rsid w:val="00051089"/>
    <w:rsid w:val="000568B0"/>
    <w:rsid w:val="0008233F"/>
    <w:rsid w:val="00091E80"/>
    <w:rsid w:val="00093942"/>
    <w:rsid w:val="000956A3"/>
    <w:rsid w:val="000B0D4D"/>
    <w:rsid w:val="000B1764"/>
    <w:rsid w:val="000B1EE8"/>
    <w:rsid w:val="000B490B"/>
    <w:rsid w:val="000B4FB4"/>
    <w:rsid w:val="000E06A2"/>
    <w:rsid w:val="000F761D"/>
    <w:rsid w:val="00106C02"/>
    <w:rsid w:val="00130FF0"/>
    <w:rsid w:val="00131BFF"/>
    <w:rsid w:val="001518E2"/>
    <w:rsid w:val="00172831"/>
    <w:rsid w:val="0018635F"/>
    <w:rsid w:val="00192952"/>
    <w:rsid w:val="00192B03"/>
    <w:rsid w:val="00194AAE"/>
    <w:rsid w:val="00195939"/>
    <w:rsid w:val="00195F72"/>
    <w:rsid w:val="00195FA7"/>
    <w:rsid w:val="001A3698"/>
    <w:rsid w:val="001A45D5"/>
    <w:rsid w:val="001A4BDF"/>
    <w:rsid w:val="001B0386"/>
    <w:rsid w:val="001C75CF"/>
    <w:rsid w:val="001D37A9"/>
    <w:rsid w:val="001E24C6"/>
    <w:rsid w:val="001F3325"/>
    <w:rsid w:val="001F44EE"/>
    <w:rsid w:val="00201ED9"/>
    <w:rsid w:val="00220466"/>
    <w:rsid w:val="002342F3"/>
    <w:rsid w:val="00234A79"/>
    <w:rsid w:val="00235096"/>
    <w:rsid w:val="00235E86"/>
    <w:rsid w:val="0023792F"/>
    <w:rsid w:val="00251721"/>
    <w:rsid w:val="002532D7"/>
    <w:rsid w:val="00256F92"/>
    <w:rsid w:val="002912C5"/>
    <w:rsid w:val="0029230F"/>
    <w:rsid w:val="00294C4C"/>
    <w:rsid w:val="00297DFF"/>
    <w:rsid w:val="002A0F87"/>
    <w:rsid w:val="002A2658"/>
    <w:rsid w:val="002A720E"/>
    <w:rsid w:val="002C0278"/>
    <w:rsid w:val="002C2364"/>
    <w:rsid w:val="002C5883"/>
    <w:rsid w:val="002D229E"/>
    <w:rsid w:val="002E295D"/>
    <w:rsid w:val="002E44A9"/>
    <w:rsid w:val="002F1C43"/>
    <w:rsid w:val="003206C6"/>
    <w:rsid w:val="00324BAE"/>
    <w:rsid w:val="00324F0A"/>
    <w:rsid w:val="00331DBF"/>
    <w:rsid w:val="00333AF1"/>
    <w:rsid w:val="00334D30"/>
    <w:rsid w:val="0034350B"/>
    <w:rsid w:val="00350F72"/>
    <w:rsid w:val="00354C0D"/>
    <w:rsid w:val="00360EDF"/>
    <w:rsid w:val="00380E31"/>
    <w:rsid w:val="00394B76"/>
    <w:rsid w:val="003A5100"/>
    <w:rsid w:val="003B3387"/>
    <w:rsid w:val="003C670A"/>
    <w:rsid w:val="003C6FD7"/>
    <w:rsid w:val="003D2E14"/>
    <w:rsid w:val="003D3F81"/>
    <w:rsid w:val="003D63FA"/>
    <w:rsid w:val="003D70AA"/>
    <w:rsid w:val="003E218E"/>
    <w:rsid w:val="003E3549"/>
    <w:rsid w:val="003F00A9"/>
    <w:rsid w:val="003F3CCF"/>
    <w:rsid w:val="003F7809"/>
    <w:rsid w:val="00401A58"/>
    <w:rsid w:val="00432140"/>
    <w:rsid w:val="00436876"/>
    <w:rsid w:val="00446E2A"/>
    <w:rsid w:val="00447142"/>
    <w:rsid w:val="004518DE"/>
    <w:rsid w:val="00467D81"/>
    <w:rsid w:val="00474F1C"/>
    <w:rsid w:val="00485E44"/>
    <w:rsid w:val="00497AC9"/>
    <w:rsid w:val="004A1C5E"/>
    <w:rsid w:val="004A2955"/>
    <w:rsid w:val="004B1605"/>
    <w:rsid w:val="004B3AB9"/>
    <w:rsid w:val="004C59D9"/>
    <w:rsid w:val="004C77A9"/>
    <w:rsid w:val="004D3484"/>
    <w:rsid w:val="004F482E"/>
    <w:rsid w:val="004F5C09"/>
    <w:rsid w:val="005024BE"/>
    <w:rsid w:val="00502D32"/>
    <w:rsid w:val="0051020C"/>
    <w:rsid w:val="00513097"/>
    <w:rsid w:val="00515172"/>
    <w:rsid w:val="0051537D"/>
    <w:rsid w:val="00516F0B"/>
    <w:rsid w:val="00521A47"/>
    <w:rsid w:val="00527B63"/>
    <w:rsid w:val="005327FC"/>
    <w:rsid w:val="005378BE"/>
    <w:rsid w:val="005454C9"/>
    <w:rsid w:val="00552E58"/>
    <w:rsid w:val="00577E03"/>
    <w:rsid w:val="00583862"/>
    <w:rsid w:val="00585942"/>
    <w:rsid w:val="00590C90"/>
    <w:rsid w:val="00591057"/>
    <w:rsid w:val="00596AF9"/>
    <w:rsid w:val="005B0C72"/>
    <w:rsid w:val="005B10D0"/>
    <w:rsid w:val="005B3A09"/>
    <w:rsid w:val="005B61FE"/>
    <w:rsid w:val="005C47D6"/>
    <w:rsid w:val="005D5894"/>
    <w:rsid w:val="005E17B1"/>
    <w:rsid w:val="005F146D"/>
    <w:rsid w:val="00604395"/>
    <w:rsid w:val="006136D5"/>
    <w:rsid w:val="00621307"/>
    <w:rsid w:val="00636C63"/>
    <w:rsid w:val="006439B8"/>
    <w:rsid w:val="00646BAC"/>
    <w:rsid w:val="00663864"/>
    <w:rsid w:val="00663D01"/>
    <w:rsid w:val="0066605A"/>
    <w:rsid w:val="00667701"/>
    <w:rsid w:val="0067427D"/>
    <w:rsid w:val="006809F8"/>
    <w:rsid w:val="00681D45"/>
    <w:rsid w:val="00684B9B"/>
    <w:rsid w:val="006906DC"/>
    <w:rsid w:val="006B7DC9"/>
    <w:rsid w:val="006C2EC0"/>
    <w:rsid w:val="006D6994"/>
    <w:rsid w:val="006E1F2B"/>
    <w:rsid w:val="006E56CA"/>
    <w:rsid w:val="006E6C75"/>
    <w:rsid w:val="006F2D7B"/>
    <w:rsid w:val="006F3E35"/>
    <w:rsid w:val="007025EB"/>
    <w:rsid w:val="007114C7"/>
    <w:rsid w:val="0071407E"/>
    <w:rsid w:val="00714B63"/>
    <w:rsid w:val="00714EF5"/>
    <w:rsid w:val="00716678"/>
    <w:rsid w:val="00734ED8"/>
    <w:rsid w:val="00743BB1"/>
    <w:rsid w:val="00746054"/>
    <w:rsid w:val="007531A4"/>
    <w:rsid w:val="00754367"/>
    <w:rsid w:val="00754AC4"/>
    <w:rsid w:val="00772FAD"/>
    <w:rsid w:val="007743A0"/>
    <w:rsid w:val="007773BA"/>
    <w:rsid w:val="00781EE6"/>
    <w:rsid w:val="007A0FE1"/>
    <w:rsid w:val="007A277D"/>
    <w:rsid w:val="007A3AB1"/>
    <w:rsid w:val="007A6A32"/>
    <w:rsid w:val="007B0619"/>
    <w:rsid w:val="007B238A"/>
    <w:rsid w:val="007B5566"/>
    <w:rsid w:val="007C116F"/>
    <w:rsid w:val="007C66C8"/>
    <w:rsid w:val="007C7125"/>
    <w:rsid w:val="007D09D5"/>
    <w:rsid w:val="007D0E51"/>
    <w:rsid w:val="007D61AA"/>
    <w:rsid w:val="007D6EAE"/>
    <w:rsid w:val="007D79E0"/>
    <w:rsid w:val="007D7D48"/>
    <w:rsid w:val="007E1E77"/>
    <w:rsid w:val="007E256D"/>
    <w:rsid w:val="007E6B55"/>
    <w:rsid w:val="007E7D7E"/>
    <w:rsid w:val="007F5048"/>
    <w:rsid w:val="008137EE"/>
    <w:rsid w:val="0082064C"/>
    <w:rsid w:val="00835C4B"/>
    <w:rsid w:val="00844ED0"/>
    <w:rsid w:val="00852FB4"/>
    <w:rsid w:val="008611ED"/>
    <w:rsid w:val="00862EEA"/>
    <w:rsid w:val="00872925"/>
    <w:rsid w:val="00880598"/>
    <w:rsid w:val="00881B83"/>
    <w:rsid w:val="00881C86"/>
    <w:rsid w:val="00881E58"/>
    <w:rsid w:val="00883E89"/>
    <w:rsid w:val="0088775A"/>
    <w:rsid w:val="00897EC2"/>
    <w:rsid w:val="008A1525"/>
    <w:rsid w:val="008A2C9D"/>
    <w:rsid w:val="008B1F41"/>
    <w:rsid w:val="008C1151"/>
    <w:rsid w:val="008C22B8"/>
    <w:rsid w:val="008C5FE1"/>
    <w:rsid w:val="008C7315"/>
    <w:rsid w:val="008D7B42"/>
    <w:rsid w:val="008E3A3C"/>
    <w:rsid w:val="008E4C69"/>
    <w:rsid w:val="008F08AE"/>
    <w:rsid w:val="008F0A04"/>
    <w:rsid w:val="009034C2"/>
    <w:rsid w:val="00923993"/>
    <w:rsid w:val="00930E82"/>
    <w:rsid w:val="00935498"/>
    <w:rsid w:val="009449C3"/>
    <w:rsid w:val="00947CA2"/>
    <w:rsid w:val="00974DA7"/>
    <w:rsid w:val="009846DD"/>
    <w:rsid w:val="00987702"/>
    <w:rsid w:val="00992F3D"/>
    <w:rsid w:val="0099785E"/>
    <w:rsid w:val="009A0799"/>
    <w:rsid w:val="009A3831"/>
    <w:rsid w:val="009A5A2D"/>
    <w:rsid w:val="009A7FF8"/>
    <w:rsid w:val="009B0E8A"/>
    <w:rsid w:val="009C03D2"/>
    <w:rsid w:val="009C5EA0"/>
    <w:rsid w:val="009E0161"/>
    <w:rsid w:val="009E4813"/>
    <w:rsid w:val="009E5B00"/>
    <w:rsid w:val="009F03D3"/>
    <w:rsid w:val="00A020A3"/>
    <w:rsid w:val="00A03C5E"/>
    <w:rsid w:val="00A0535E"/>
    <w:rsid w:val="00A20174"/>
    <w:rsid w:val="00A37EB1"/>
    <w:rsid w:val="00A431A8"/>
    <w:rsid w:val="00A4602E"/>
    <w:rsid w:val="00A50637"/>
    <w:rsid w:val="00A513A4"/>
    <w:rsid w:val="00A61B4F"/>
    <w:rsid w:val="00A6396C"/>
    <w:rsid w:val="00A73301"/>
    <w:rsid w:val="00A760B4"/>
    <w:rsid w:val="00A83450"/>
    <w:rsid w:val="00A85155"/>
    <w:rsid w:val="00A869EC"/>
    <w:rsid w:val="00A97791"/>
    <w:rsid w:val="00A97DCA"/>
    <w:rsid w:val="00AA1544"/>
    <w:rsid w:val="00AA202F"/>
    <w:rsid w:val="00AB06AD"/>
    <w:rsid w:val="00AB3089"/>
    <w:rsid w:val="00AC4320"/>
    <w:rsid w:val="00AC5686"/>
    <w:rsid w:val="00B04DCF"/>
    <w:rsid w:val="00B04F9D"/>
    <w:rsid w:val="00B07711"/>
    <w:rsid w:val="00B24DEF"/>
    <w:rsid w:val="00B26157"/>
    <w:rsid w:val="00B27C0B"/>
    <w:rsid w:val="00B428C7"/>
    <w:rsid w:val="00B52A58"/>
    <w:rsid w:val="00B54C45"/>
    <w:rsid w:val="00B5570A"/>
    <w:rsid w:val="00B648E4"/>
    <w:rsid w:val="00B6705B"/>
    <w:rsid w:val="00B74C91"/>
    <w:rsid w:val="00B80F22"/>
    <w:rsid w:val="00B859B8"/>
    <w:rsid w:val="00B86776"/>
    <w:rsid w:val="00BB4BCD"/>
    <w:rsid w:val="00BB7942"/>
    <w:rsid w:val="00BC4B52"/>
    <w:rsid w:val="00BC7D37"/>
    <w:rsid w:val="00BD7B69"/>
    <w:rsid w:val="00BF0ACA"/>
    <w:rsid w:val="00C009D5"/>
    <w:rsid w:val="00C07D43"/>
    <w:rsid w:val="00C140F4"/>
    <w:rsid w:val="00C2109F"/>
    <w:rsid w:val="00C245D6"/>
    <w:rsid w:val="00C26FB4"/>
    <w:rsid w:val="00C32572"/>
    <w:rsid w:val="00C34FBB"/>
    <w:rsid w:val="00C35525"/>
    <w:rsid w:val="00C35B61"/>
    <w:rsid w:val="00C556A0"/>
    <w:rsid w:val="00C57BB4"/>
    <w:rsid w:val="00C64A49"/>
    <w:rsid w:val="00C6646B"/>
    <w:rsid w:val="00C844B4"/>
    <w:rsid w:val="00C87CDF"/>
    <w:rsid w:val="00CA03B3"/>
    <w:rsid w:val="00CA0FBF"/>
    <w:rsid w:val="00CB7898"/>
    <w:rsid w:val="00CC0A95"/>
    <w:rsid w:val="00CC3254"/>
    <w:rsid w:val="00CD322E"/>
    <w:rsid w:val="00CE1338"/>
    <w:rsid w:val="00D05E5F"/>
    <w:rsid w:val="00D0693C"/>
    <w:rsid w:val="00D12C67"/>
    <w:rsid w:val="00D2125B"/>
    <w:rsid w:val="00D24F96"/>
    <w:rsid w:val="00D3321E"/>
    <w:rsid w:val="00D36197"/>
    <w:rsid w:val="00D41B57"/>
    <w:rsid w:val="00D42DDC"/>
    <w:rsid w:val="00D530C9"/>
    <w:rsid w:val="00D553F5"/>
    <w:rsid w:val="00D6060B"/>
    <w:rsid w:val="00D6213E"/>
    <w:rsid w:val="00D73621"/>
    <w:rsid w:val="00D849A7"/>
    <w:rsid w:val="00D93227"/>
    <w:rsid w:val="00DB6A0E"/>
    <w:rsid w:val="00DC0F36"/>
    <w:rsid w:val="00DC5A75"/>
    <w:rsid w:val="00DE1D31"/>
    <w:rsid w:val="00DE2032"/>
    <w:rsid w:val="00DE6D5B"/>
    <w:rsid w:val="00DE6F88"/>
    <w:rsid w:val="00DF1749"/>
    <w:rsid w:val="00DF1903"/>
    <w:rsid w:val="00DF72B6"/>
    <w:rsid w:val="00E0582C"/>
    <w:rsid w:val="00E06BD8"/>
    <w:rsid w:val="00E14F3F"/>
    <w:rsid w:val="00E17A8F"/>
    <w:rsid w:val="00E23749"/>
    <w:rsid w:val="00E25BF5"/>
    <w:rsid w:val="00E47007"/>
    <w:rsid w:val="00E65A76"/>
    <w:rsid w:val="00E71607"/>
    <w:rsid w:val="00E71873"/>
    <w:rsid w:val="00E80A68"/>
    <w:rsid w:val="00E840D9"/>
    <w:rsid w:val="00E85271"/>
    <w:rsid w:val="00E92AAF"/>
    <w:rsid w:val="00E97A78"/>
    <w:rsid w:val="00EA06A6"/>
    <w:rsid w:val="00EA1BD0"/>
    <w:rsid w:val="00EC04EE"/>
    <w:rsid w:val="00EC55CB"/>
    <w:rsid w:val="00EE024C"/>
    <w:rsid w:val="00EF1925"/>
    <w:rsid w:val="00F012B1"/>
    <w:rsid w:val="00F16D06"/>
    <w:rsid w:val="00F32C24"/>
    <w:rsid w:val="00F419EF"/>
    <w:rsid w:val="00F42379"/>
    <w:rsid w:val="00F442DE"/>
    <w:rsid w:val="00F44377"/>
    <w:rsid w:val="00F50046"/>
    <w:rsid w:val="00F601B2"/>
    <w:rsid w:val="00F75897"/>
    <w:rsid w:val="00F75F5E"/>
    <w:rsid w:val="00F81DBC"/>
    <w:rsid w:val="00F8604F"/>
    <w:rsid w:val="00F91D57"/>
    <w:rsid w:val="00F923CC"/>
    <w:rsid w:val="00F96991"/>
    <w:rsid w:val="00FA2F62"/>
    <w:rsid w:val="00FA5451"/>
    <w:rsid w:val="00FB1154"/>
    <w:rsid w:val="00FB4F0B"/>
    <w:rsid w:val="00FE7E13"/>
    <w:rsid w:val="00FF0EBD"/>
    <w:rsid w:val="00FF1CE4"/>
    <w:rsid w:val="00FF587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F581F"/>
  <w15:chartTrackingRefBased/>
  <w15:docId w15:val="{883A2513-3DD5-4024-B088-8947BA00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5A"/>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A6"/>
    <w:pPr>
      <w:ind w:left="720"/>
    </w:pPr>
  </w:style>
  <w:style w:type="paragraph" w:styleId="BalloonText">
    <w:name w:val="Balloon Text"/>
    <w:basedOn w:val="Normal"/>
    <w:link w:val="BalloonTextChar"/>
    <w:uiPriority w:val="99"/>
    <w:semiHidden/>
    <w:unhideWhenUsed/>
    <w:rsid w:val="00EA06A6"/>
    <w:rPr>
      <w:rFonts w:ascii="Tahoma" w:hAnsi="Tahoma" w:cs="Tahoma"/>
      <w:sz w:val="16"/>
      <w:szCs w:val="16"/>
    </w:rPr>
  </w:style>
  <w:style w:type="character" w:customStyle="1" w:styleId="BalloonTextChar">
    <w:name w:val="Balloon Text Char"/>
    <w:link w:val="BalloonText"/>
    <w:uiPriority w:val="99"/>
    <w:semiHidden/>
    <w:rsid w:val="00EA06A6"/>
    <w:rPr>
      <w:rFonts w:ascii="Tahoma" w:hAnsi="Tahoma" w:cs="Tahoma"/>
      <w:sz w:val="16"/>
      <w:szCs w:val="16"/>
      <w:lang w:eastAsia="en-US"/>
    </w:rPr>
  </w:style>
  <w:style w:type="table" w:styleId="TableGrid">
    <w:name w:val="Table Grid"/>
    <w:basedOn w:val="TableNormal"/>
    <w:uiPriority w:val="39"/>
    <w:rsid w:val="00F7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06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532D7"/>
    <w:pPr>
      <w:tabs>
        <w:tab w:val="center" w:pos="4513"/>
        <w:tab w:val="right" w:pos="9026"/>
      </w:tabs>
    </w:pPr>
  </w:style>
  <w:style w:type="character" w:customStyle="1" w:styleId="HeaderChar">
    <w:name w:val="Header Char"/>
    <w:link w:val="Header"/>
    <w:uiPriority w:val="99"/>
    <w:rsid w:val="002532D7"/>
    <w:rPr>
      <w:rFonts w:ascii="Arial" w:hAnsi="Arial"/>
      <w:sz w:val="22"/>
      <w:lang w:eastAsia="en-US"/>
    </w:rPr>
  </w:style>
  <w:style w:type="paragraph" w:styleId="Footer">
    <w:name w:val="footer"/>
    <w:basedOn w:val="Normal"/>
    <w:link w:val="FooterChar"/>
    <w:uiPriority w:val="99"/>
    <w:unhideWhenUsed/>
    <w:rsid w:val="002532D7"/>
    <w:pPr>
      <w:tabs>
        <w:tab w:val="center" w:pos="4513"/>
        <w:tab w:val="right" w:pos="9026"/>
      </w:tabs>
    </w:pPr>
  </w:style>
  <w:style w:type="character" w:customStyle="1" w:styleId="FooterChar">
    <w:name w:val="Footer Char"/>
    <w:link w:val="Footer"/>
    <w:uiPriority w:val="99"/>
    <w:rsid w:val="002532D7"/>
    <w:rPr>
      <w:rFonts w:ascii="Arial" w:hAnsi="Arial"/>
      <w:sz w:val="22"/>
      <w:lang w:eastAsia="en-US"/>
    </w:rPr>
  </w:style>
  <w:style w:type="character" w:styleId="Hyperlink">
    <w:name w:val="Hyperlink"/>
    <w:basedOn w:val="DefaultParagraphFont"/>
    <w:uiPriority w:val="99"/>
    <w:unhideWhenUsed/>
    <w:rsid w:val="00BC4B52"/>
    <w:rPr>
      <w:color w:val="0563C1" w:themeColor="hyperlink"/>
      <w:u w:val="single"/>
    </w:rPr>
  </w:style>
  <w:style w:type="character" w:styleId="FollowedHyperlink">
    <w:name w:val="FollowedHyperlink"/>
    <w:basedOn w:val="DefaultParagraphFont"/>
    <w:uiPriority w:val="99"/>
    <w:semiHidden/>
    <w:unhideWhenUsed/>
    <w:rsid w:val="00583862"/>
    <w:rPr>
      <w:color w:val="954F72" w:themeColor="followedHyperlink"/>
      <w:u w:val="single"/>
    </w:rPr>
  </w:style>
  <w:style w:type="character" w:styleId="UnresolvedMention">
    <w:name w:val="Unresolved Mention"/>
    <w:basedOn w:val="DefaultParagraphFont"/>
    <w:uiPriority w:val="99"/>
    <w:semiHidden/>
    <w:unhideWhenUsed/>
    <w:rsid w:val="005B3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6256">
      <w:bodyDiv w:val="1"/>
      <w:marLeft w:val="0"/>
      <w:marRight w:val="0"/>
      <w:marTop w:val="0"/>
      <w:marBottom w:val="0"/>
      <w:divBdr>
        <w:top w:val="none" w:sz="0" w:space="0" w:color="auto"/>
        <w:left w:val="none" w:sz="0" w:space="0" w:color="auto"/>
        <w:bottom w:val="none" w:sz="0" w:space="0" w:color="auto"/>
        <w:right w:val="none" w:sz="0" w:space="0" w:color="auto"/>
      </w:divBdr>
    </w:div>
    <w:div w:id="200719870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pensionsregulator.gov.uk/trustees/exchange.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undeecity.gov.uk/service-area/corporate-services/corporate-finance/whistleblowing-report-of-suspected-wrongdo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65bf0e-7081-4583-b2f5-8a330c0c8789" xsi:nil="true"/>
    <lcf76f155ced4ddcb4097134ff3c332f xmlns="93da8161-ddec-478b-86a1-c05e0c16f3e7">
      <Terms xmlns="http://schemas.microsoft.com/office/infopath/2007/PartnerControls"/>
    </lcf76f155ced4ddcb4097134ff3c332f>
    <_ip_UnifiedCompliancePolicyProperties xmlns="http://schemas.microsoft.com/sharepoint/v3" xsi:nil="true"/>
    <_dlc_DocId xmlns="5b65bf0e-7081-4583-b2f5-8a330c0c8789">7DX77YRMCCNA-841004754-63565</_dlc_DocId>
    <_dlc_DocIdUrl xmlns="5b65bf0e-7081-4583-b2f5-8a330c0c8789">
      <Url>https://dundeecitygovuk.sharepoint.com/sites/SP-CorporateFinance/_layouts/15/DocIdRedir.aspx?ID=7DX77YRMCCNA-841004754-63565</Url>
      <Description>7DX77YRMCCNA-841004754-63565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96AEE0C4BB34692BC407FB68CD074" ma:contentTypeVersion="16" ma:contentTypeDescription="Create a new document." ma:contentTypeScope="" ma:versionID="092dbd6a127ff70f8a3f3dee431453ec">
  <xsd:schema xmlns:xsd="http://www.w3.org/2001/XMLSchema" xmlns:xs="http://www.w3.org/2001/XMLSchema" xmlns:p="http://schemas.microsoft.com/office/2006/metadata/properties" xmlns:ns1="http://schemas.microsoft.com/sharepoint/v3" xmlns:ns2="5b65bf0e-7081-4583-b2f5-8a330c0c8789" xmlns:ns3="93da8161-ddec-478b-86a1-c05e0c16f3e7" targetNamespace="http://schemas.microsoft.com/office/2006/metadata/properties" ma:root="true" ma:fieldsID="a6737f276dd61d11fdd58d167ba38647" ns1:_="" ns2:_="" ns3:_="">
    <xsd:import namespace="http://schemas.microsoft.com/sharepoint/v3"/>
    <xsd:import namespace="5b65bf0e-7081-4583-b2f5-8a330c0c8789"/>
    <xsd:import namespace="93da8161-ddec-478b-86a1-c05e0c16f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5bf0e-7081-4583-b2f5-8a330c0c8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fad90-6dc3-49fc-bfc6-9b048e3e06e5}" ma:internalName="TaxCatchAll" ma:showField="CatchAllData" ma:web="5b65bf0e-7081-4583-b2f5-8a330c0c87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a8161-ddec-478b-86a1-c05e0c16f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60CF-D182-4EFC-9D6C-EE7D980C5422}">
  <ds:schemaRefs>
    <ds:schemaRef ds:uri="http://schemas.microsoft.com/sharepoint/events"/>
  </ds:schemaRefs>
</ds:datastoreItem>
</file>

<file path=customXml/itemProps2.xml><?xml version="1.0" encoding="utf-8"?>
<ds:datastoreItem xmlns:ds="http://schemas.openxmlformats.org/officeDocument/2006/customXml" ds:itemID="{F5C51F39-DDCA-40D4-9F95-D006297E3AE5}">
  <ds:schemaRefs>
    <ds:schemaRef ds:uri="http://schemas.microsoft.com/sharepoint/v3/contenttype/forms"/>
  </ds:schemaRefs>
</ds:datastoreItem>
</file>

<file path=customXml/itemProps3.xml><?xml version="1.0" encoding="utf-8"?>
<ds:datastoreItem xmlns:ds="http://schemas.openxmlformats.org/officeDocument/2006/customXml" ds:itemID="{5DD5C5DB-DC06-486B-BF18-6DB6D85C308F}">
  <ds:schemaRefs>
    <ds:schemaRef ds:uri="http://schemas.microsoft.com/office/2006/metadata/properties"/>
    <ds:schemaRef ds:uri="http://schemas.microsoft.com/office/infopath/2007/PartnerControls"/>
    <ds:schemaRef ds:uri="http://schemas.microsoft.com/sharepoint/v3"/>
    <ds:schemaRef ds:uri="5b65bf0e-7081-4583-b2f5-8a330c0c8789"/>
    <ds:schemaRef ds:uri="93da8161-ddec-478b-86a1-c05e0c16f3e7"/>
  </ds:schemaRefs>
</ds:datastoreItem>
</file>

<file path=customXml/itemProps4.xml><?xml version="1.0" encoding="utf-8"?>
<ds:datastoreItem xmlns:ds="http://schemas.openxmlformats.org/officeDocument/2006/customXml" ds:itemID="{F66BA53E-C27D-4CC9-8D51-D05E68F34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65bf0e-7081-4583-b2f5-8a330c0c8789"/>
    <ds:schemaRef ds:uri="93da8161-ddec-478b-86a1-c05e0c16f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A3E427-1943-4BB4-82EC-10D6CEAD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2115</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russell</dc:creator>
  <cp:keywords/>
  <cp:lastModifiedBy>Tracey Russell</cp:lastModifiedBy>
  <cp:revision>132</cp:revision>
  <cp:lastPrinted>2015-05-19T09:41:00Z</cp:lastPrinted>
  <dcterms:created xsi:type="dcterms:W3CDTF">2025-07-14T11:02:00Z</dcterms:created>
  <dcterms:modified xsi:type="dcterms:W3CDTF">2025-08-28T12:49:00Z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0x010100FC096AEE0C4BB34692BC407FB68CD074</vt:lpwstr>
  </property>
  <property fmtid="{D5CDD505-2E9C-101B-9397-08002B2CF9AE}" pid="3" name="MediaServiceImageTags">
    <vt:lpwstr/>
  </property>
  <property fmtid="{D5CDD505-2E9C-101B-9397-08002B2CF9AE}" pid="4" name="_dlc_DocIdItemGuid">
    <vt:lpwstr>c6b119b8-da49-48af-b4ca-0af82a72c732</vt:lpwstr>
  </property>
</Properties>
</file>