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5CD0" w14:textId="2D506D5B" w:rsidR="00C66761" w:rsidRPr="003973F0" w:rsidRDefault="00C66761" w:rsidP="003973F0">
      <w:pPr>
        <w:tabs>
          <w:tab w:val="left" w:pos="1980"/>
        </w:tabs>
        <w:ind w:left="1980" w:hanging="1980"/>
        <w:rPr>
          <w:rFonts w:cs="Arial"/>
          <w:b/>
          <w:sz w:val="20"/>
        </w:rPr>
      </w:pPr>
      <w:r w:rsidRPr="003973F0">
        <w:rPr>
          <w:rFonts w:cs="Arial"/>
          <w:b/>
          <w:sz w:val="20"/>
        </w:rPr>
        <w:t>REPORT TO:</w:t>
      </w:r>
      <w:r w:rsidRPr="003973F0">
        <w:rPr>
          <w:rFonts w:cs="Arial"/>
          <w:b/>
          <w:sz w:val="20"/>
        </w:rPr>
        <w:tab/>
        <w:t xml:space="preserve">PENSION SUB-COMMITTEE OF THE </w:t>
      </w:r>
      <w:r w:rsidR="00CC2691">
        <w:rPr>
          <w:rFonts w:cs="Arial"/>
          <w:b/>
          <w:sz w:val="20"/>
        </w:rPr>
        <w:t>CITY GOVERNANCE</w:t>
      </w:r>
      <w:r w:rsidRPr="003973F0">
        <w:rPr>
          <w:rFonts w:cs="Arial"/>
          <w:b/>
          <w:sz w:val="20"/>
        </w:rPr>
        <w:t xml:space="preserve"> COMMITTEE &amp; PENSION BOARD – </w:t>
      </w:r>
      <w:r w:rsidR="00FE5C0A">
        <w:rPr>
          <w:rFonts w:cs="Arial"/>
          <w:b/>
          <w:sz w:val="20"/>
        </w:rPr>
        <w:t>22 SEPTEMBER 2025</w:t>
      </w:r>
      <w:r w:rsidRPr="003973F0">
        <w:rPr>
          <w:rFonts w:cs="Arial"/>
          <w:b/>
          <w:sz w:val="20"/>
        </w:rPr>
        <w:tab/>
      </w:r>
    </w:p>
    <w:p w14:paraId="49497B84" w14:textId="77777777" w:rsidR="00C66761" w:rsidRPr="003973F0" w:rsidRDefault="00C66761" w:rsidP="00C66761">
      <w:pPr>
        <w:tabs>
          <w:tab w:val="left" w:pos="1980"/>
        </w:tabs>
        <w:rPr>
          <w:rFonts w:cs="Arial"/>
          <w:b/>
          <w:sz w:val="20"/>
        </w:rPr>
      </w:pPr>
    </w:p>
    <w:p w14:paraId="23145CC8" w14:textId="30E90699" w:rsidR="00C66761" w:rsidRPr="003973F0" w:rsidRDefault="00C66761" w:rsidP="00C66761">
      <w:pPr>
        <w:tabs>
          <w:tab w:val="left" w:pos="1980"/>
        </w:tabs>
        <w:rPr>
          <w:rFonts w:cs="Arial"/>
          <w:b/>
          <w:sz w:val="20"/>
        </w:rPr>
      </w:pPr>
      <w:r w:rsidRPr="003973F0">
        <w:rPr>
          <w:rFonts w:cs="Arial"/>
          <w:b/>
          <w:sz w:val="20"/>
        </w:rPr>
        <w:t>REPORT ON:</w:t>
      </w:r>
      <w:r w:rsidRPr="003973F0">
        <w:rPr>
          <w:rFonts w:cs="Arial"/>
          <w:b/>
          <w:sz w:val="20"/>
        </w:rPr>
        <w:tab/>
      </w:r>
      <w:r w:rsidR="00FE5C0A">
        <w:rPr>
          <w:rFonts w:cs="Arial"/>
          <w:b/>
          <w:sz w:val="20"/>
        </w:rPr>
        <w:t xml:space="preserve">AMENDED </w:t>
      </w:r>
      <w:r w:rsidRPr="003973F0">
        <w:rPr>
          <w:rFonts w:cs="Arial"/>
          <w:b/>
          <w:sz w:val="20"/>
        </w:rPr>
        <w:t>TREASURY POLICY STATEMENT</w:t>
      </w:r>
      <w:r w:rsidR="000871DD">
        <w:rPr>
          <w:rFonts w:cs="Arial"/>
          <w:b/>
          <w:sz w:val="20"/>
        </w:rPr>
        <w:t xml:space="preserve"> 202</w:t>
      </w:r>
      <w:r w:rsidR="00C03944">
        <w:rPr>
          <w:rFonts w:cs="Arial"/>
          <w:b/>
          <w:sz w:val="20"/>
        </w:rPr>
        <w:t>5</w:t>
      </w:r>
      <w:r w:rsidR="000871DD">
        <w:rPr>
          <w:rFonts w:cs="Arial"/>
          <w:b/>
          <w:sz w:val="20"/>
        </w:rPr>
        <w:t>/2</w:t>
      </w:r>
      <w:r w:rsidR="00C03944">
        <w:rPr>
          <w:rFonts w:cs="Arial"/>
          <w:b/>
          <w:sz w:val="20"/>
        </w:rPr>
        <w:t>6</w:t>
      </w:r>
    </w:p>
    <w:p w14:paraId="5F3838B9" w14:textId="77777777" w:rsidR="00C66761" w:rsidRPr="003973F0" w:rsidRDefault="00C66761" w:rsidP="00C66761">
      <w:pPr>
        <w:tabs>
          <w:tab w:val="left" w:pos="1985"/>
        </w:tabs>
        <w:rPr>
          <w:rFonts w:cs="Arial"/>
          <w:sz w:val="20"/>
        </w:rPr>
      </w:pPr>
    </w:p>
    <w:p w14:paraId="0AE509C5" w14:textId="77777777" w:rsidR="00C66761" w:rsidRPr="003973F0" w:rsidRDefault="00C66761" w:rsidP="00C66761">
      <w:pPr>
        <w:tabs>
          <w:tab w:val="left" w:pos="1985"/>
        </w:tabs>
        <w:rPr>
          <w:rFonts w:cs="Arial"/>
          <w:b/>
          <w:sz w:val="20"/>
        </w:rPr>
      </w:pPr>
      <w:r w:rsidRPr="003973F0">
        <w:rPr>
          <w:rFonts w:cs="Arial"/>
          <w:b/>
          <w:sz w:val="20"/>
        </w:rPr>
        <w:t>REPORT BY:</w:t>
      </w:r>
      <w:r w:rsidRPr="003973F0">
        <w:rPr>
          <w:rFonts w:cs="Arial"/>
          <w:b/>
          <w:sz w:val="20"/>
        </w:rPr>
        <w:tab/>
        <w:t>EXECUTIVE DIRECTOR OF CORPORATE SERVICES</w:t>
      </w:r>
    </w:p>
    <w:p w14:paraId="0FB48803" w14:textId="77777777" w:rsidR="00C66761" w:rsidRPr="003973F0" w:rsidRDefault="00C66761" w:rsidP="00C66761">
      <w:pPr>
        <w:tabs>
          <w:tab w:val="left" w:pos="1985"/>
        </w:tabs>
        <w:rPr>
          <w:rFonts w:cs="Arial"/>
          <w:sz w:val="20"/>
        </w:rPr>
      </w:pPr>
    </w:p>
    <w:p w14:paraId="1BD28C78" w14:textId="25D8A2B6" w:rsidR="00C66761" w:rsidRDefault="00C66761" w:rsidP="00B238A2">
      <w:pPr>
        <w:tabs>
          <w:tab w:val="left" w:pos="1985"/>
        </w:tabs>
        <w:rPr>
          <w:rFonts w:cs="Arial"/>
          <w:b/>
          <w:sz w:val="20"/>
        </w:rPr>
      </w:pPr>
      <w:r w:rsidRPr="003973F0">
        <w:rPr>
          <w:rFonts w:cs="Arial"/>
          <w:b/>
          <w:sz w:val="20"/>
        </w:rPr>
        <w:t>REPORT NO:</w:t>
      </w:r>
      <w:r w:rsidRPr="003973F0">
        <w:rPr>
          <w:rFonts w:cs="Arial"/>
          <w:b/>
          <w:sz w:val="20"/>
        </w:rPr>
        <w:tab/>
      </w:r>
      <w:r w:rsidR="002B4F76">
        <w:rPr>
          <w:rFonts w:cs="Arial"/>
          <w:b/>
          <w:sz w:val="20"/>
        </w:rPr>
        <w:t>260</w:t>
      </w:r>
      <w:r w:rsidRPr="003973F0">
        <w:rPr>
          <w:rFonts w:cs="Arial"/>
          <w:b/>
          <w:sz w:val="20"/>
        </w:rPr>
        <w:t>-20</w:t>
      </w:r>
      <w:r w:rsidR="00B238A2">
        <w:rPr>
          <w:rFonts w:cs="Arial"/>
          <w:b/>
          <w:sz w:val="20"/>
        </w:rPr>
        <w:t>2</w:t>
      </w:r>
      <w:r w:rsidR="00C03944">
        <w:rPr>
          <w:rFonts w:cs="Arial"/>
          <w:b/>
          <w:sz w:val="20"/>
        </w:rPr>
        <w:t>5</w:t>
      </w:r>
    </w:p>
    <w:p w14:paraId="7763A5F7" w14:textId="77777777" w:rsidR="00B238A2" w:rsidRPr="003973F0" w:rsidRDefault="00B238A2" w:rsidP="00B238A2">
      <w:pPr>
        <w:tabs>
          <w:tab w:val="left" w:pos="1985"/>
        </w:tabs>
        <w:rPr>
          <w:rFonts w:cs="Arial"/>
          <w:sz w:val="20"/>
        </w:rPr>
      </w:pPr>
    </w:p>
    <w:p w14:paraId="44E2F4C8" w14:textId="77777777" w:rsidR="00C66761" w:rsidRPr="003973F0" w:rsidRDefault="00C66761" w:rsidP="00306A9C">
      <w:pPr>
        <w:numPr>
          <w:ilvl w:val="0"/>
          <w:numId w:val="30"/>
        </w:numPr>
        <w:ind w:left="570"/>
        <w:rPr>
          <w:rFonts w:cs="Arial"/>
          <w:b/>
          <w:sz w:val="20"/>
        </w:rPr>
      </w:pPr>
      <w:r w:rsidRPr="003973F0">
        <w:rPr>
          <w:rFonts w:cs="Arial"/>
          <w:b/>
          <w:sz w:val="20"/>
        </w:rPr>
        <w:t>PURPOSE OF REPORT</w:t>
      </w:r>
    </w:p>
    <w:p w14:paraId="51D586D4" w14:textId="77777777" w:rsidR="00DB0D07" w:rsidRPr="003973F0" w:rsidRDefault="00DB0D07" w:rsidP="00306A9C">
      <w:pPr>
        <w:rPr>
          <w:rFonts w:cs="Arial"/>
          <w:sz w:val="20"/>
        </w:rPr>
      </w:pPr>
    </w:p>
    <w:p w14:paraId="07A25B9F" w14:textId="7127E915" w:rsidR="00C66761" w:rsidRPr="003973F0" w:rsidRDefault="00C66761" w:rsidP="00C03944">
      <w:pPr>
        <w:pStyle w:val="BodyText2"/>
        <w:ind w:left="0" w:firstLine="0"/>
        <w:jc w:val="both"/>
        <w:rPr>
          <w:rFonts w:cs="Arial"/>
          <w:sz w:val="20"/>
        </w:rPr>
      </w:pPr>
      <w:r w:rsidRPr="003973F0">
        <w:rPr>
          <w:rFonts w:cs="Arial"/>
          <w:sz w:val="20"/>
        </w:rPr>
        <w:t xml:space="preserve">This report revises the </w:t>
      </w:r>
      <w:r w:rsidR="00956EF4">
        <w:rPr>
          <w:rFonts w:cs="Arial"/>
          <w:sz w:val="20"/>
        </w:rPr>
        <w:t xml:space="preserve">Fund’s </w:t>
      </w:r>
      <w:r w:rsidRPr="003973F0">
        <w:rPr>
          <w:rFonts w:cs="Arial"/>
          <w:sz w:val="20"/>
        </w:rPr>
        <w:t xml:space="preserve">Treasury Policy Statement </w:t>
      </w:r>
      <w:r w:rsidR="008F104E">
        <w:rPr>
          <w:rFonts w:cs="Arial"/>
          <w:sz w:val="20"/>
        </w:rPr>
        <w:t>following Isio</w:t>
      </w:r>
      <w:r w:rsidR="003B0FEE">
        <w:rPr>
          <w:rFonts w:cs="Arial"/>
          <w:sz w:val="20"/>
        </w:rPr>
        <w:t>’s</w:t>
      </w:r>
      <w:r w:rsidR="008F104E">
        <w:rPr>
          <w:rFonts w:cs="Arial"/>
          <w:sz w:val="20"/>
        </w:rPr>
        <w:t xml:space="preserve"> review of </w:t>
      </w:r>
      <w:r w:rsidR="00E74F96">
        <w:rPr>
          <w:rFonts w:cs="Arial"/>
          <w:sz w:val="20"/>
        </w:rPr>
        <w:t>compliance with the Pension Regulators Revised Code</w:t>
      </w:r>
      <w:r w:rsidR="003449D7">
        <w:rPr>
          <w:rFonts w:cs="Arial"/>
          <w:sz w:val="20"/>
        </w:rPr>
        <w:t xml:space="preserve">.  </w:t>
      </w:r>
    </w:p>
    <w:p w14:paraId="7AA185C0" w14:textId="77777777" w:rsidR="00C66761" w:rsidRPr="003973F0" w:rsidRDefault="00C66761" w:rsidP="00306A9C">
      <w:pPr>
        <w:ind w:left="207" w:hanging="567"/>
        <w:rPr>
          <w:rFonts w:cs="Arial"/>
          <w:sz w:val="20"/>
        </w:rPr>
      </w:pPr>
    </w:p>
    <w:p w14:paraId="21951049" w14:textId="77777777" w:rsidR="00C66761" w:rsidRPr="003973F0" w:rsidRDefault="00C66761" w:rsidP="00306A9C">
      <w:pPr>
        <w:numPr>
          <w:ilvl w:val="0"/>
          <w:numId w:val="30"/>
        </w:numPr>
        <w:ind w:left="570"/>
        <w:rPr>
          <w:rFonts w:cs="Arial"/>
          <w:sz w:val="20"/>
        </w:rPr>
      </w:pPr>
      <w:r w:rsidRPr="003973F0">
        <w:rPr>
          <w:rFonts w:cs="Arial"/>
          <w:b/>
          <w:sz w:val="20"/>
        </w:rPr>
        <w:t>RECOMMENDATION</w:t>
      </w:r>
    </w:p>
    <w:p w14:paraId="6E9E8BF8" w14:textId="77777777" w:rsidR="00DB0D07" w:rsidRPr="003973F0" w:rsidRDefault="00DB0D07" w:rsidP="00306A9C">
      <w:pPr>
        <w:rPr>
          <w:rFonts w:cs="Arial"/>
          <w:sz w:val="20"/>
        </w:rPr>
      </w:pPr>
    </w:p>
    <w:p w14:paraId="536CA5EC" w14:textId="51A459DF" w:rsidR="00C66761" w:rsidRPr="003973F0" w:rsidRDefault="000D3B7C" w:rsidP="00306A9C">
      <w:pPr>
        <w:jc w:val="both"/>
        <w:rPr>
          <w:rFonts w:cs="Arial"/>
          <w:sz w:val="20"/>
        </w:rPr>
      </w:pPr>
      <w:r>
        <w:rPr>
          <w:rFonts w:cs="Arial"/>
          <w:sz w:val="20"/>
        </w:rPr>
        <w:t xml:space="preserve">The Sub-Committee is asked </w:t>
      </w:r>
      <w:r w:rsidR="00C66761" w:rsidRPr="003973F0">
        <w:rPr>
          <w:rFonts w:cs="Arial"/>
          <w:sz w:val="20"/>
        </w:rPr>
        <w:t>to approve the policies and proce</w:t>
      </w:r>
      <w:r w:rsidR="003D3A70">
        <w:rPr>
          <w:rFonts w:cs="Arial"/>
          <w:sz w:val="20"/>
        </w:rPr>
        <w:t xml:space="preserve">dures laid out in the </w:t>
      </w:r>
      <w:r w:rsidR="0008062F">
        <w:rPr>
          <w:rFonts w:cs="Arial"/>
          <w:sz w:val="20"/>
        </w:rPr>
        <w:t>amended</w:t>
      </w:r>
      <w:r w:rsidR="00D972F4">
        <w:rPr>
          <w:rFonts w:cs="Arial"/>
          <w:sz w:val="20"/>
        </w:rPr>
        <w:t xml:space="preserve"> </w:t>
      </w:r>
      <w:r w:rsidR="00C66761" w:rsidRPr="003973F0">
        <w:rPr>
          <w:rFonts w:cs="Arial"/>
          <w:sz w:val="20"/>
        </w:rPr>
        <w:t>Treasury Policy Statement 20</w:t>
      </w:r>
      <w:r w:rsidR="00B238A2">
        <w:rPr>
          <w:rFonts w:cs="Arial"/>
          <w:sz w:val="20"/>
        </w:rPr>
        <w:t>2</w:t>
      </w:r>
      <w:r w:rsidR="00C03944">
        <w:rPr>
          <w:rFonts w:cs="Arial"/>
          <w:sz w:val="20"/>
        </w:rPr>
        <w:t>5</w:t>
      </w:r>
      <w:r w:rsidR="00C66761" w:rsidRPr="003973F0">
        <w:rPr>
          <w:rFonts w:cs="Arial"/>
          <w:sz w:val="20"/>
        </w:rPr>
        <w:t>/</w:t>
      </w:r>
      <w:r w:rsidR="00D7626C">
        <w:rPr>
          <w:rFonts w:cs="Arial"/>
          <w:sz w:val="20"/>
        </w:rPr>
        <w:t>2</w:t>
      </w:r>
      <w:r w:rsidR="00C03944">
        <w:rPr>
          <w:rFonts w:cs="Arial"/>
          <w:sz w:val="20"/>
        </w:rPr>
        <w:t>6</w:t>
      </w:r>
      <w:r w:rsidR="00815A15">
        <w:rPr>
          <w:rFonts w:cs="Arial"/>
          <w:sz w:val="20"/>
        </w:rPr>
        <w:t xml:space="preserve">, noting </w:t>
      </w:r>
      <w:r w:rsidR="004801A5">
        <w:rPr>
          <w:rFonts w:cs="Arial"/>
          <w:sz w:val="20"/>
        </w:rPr>
        <w:t xml:space="preserve">the inclusion of </w:t>
      </w:r>
      <w:r w:rsidR="008F104E">
        <w:rPr>
          <w:rFonts w:cs="Arial"/>
          <w:sz w:val="20"/>
        </w:rPr>
        <w:t>Fund rebalancing to the policy</w:t>
      </w:r>
      <w:r w:rsidR="008F5943">
        <w:rPr>
          <w:rFonts w:cs="Arial"/>
          <w:sz w:val="20"/>
        </w:rPr>
        <w:t xml:space="preserve"> in section 6 of the policy</w:t>
      </w:r>
      <w:r w:rsidR="008F104E">
        <w:rPr>
          <w:rFonts w:cs="Arial"/>
          <w:sz w:val="20"/>
        </w:rPr>
        <w:t>.</w:t>
      </w:r>
    </w:p>
    <w:p w14:paraId="0A264041" w14:textId="77777777" w:rsidR="00C66761" w:rsidRPr="003973F0" w:rsidRDefault="00C66761" w:rsidP="00306A9C">
      <w:pPr>
        <w:ind w:left="207" w:hanging="567"/>
        <w:rPr>
          <w:rFonts w:cs="Arial"/>
          <w:sz w:val="20"/>
        </w:rPr>
      </w:pPr>
    </w:p>
    <w:p w14:paraId="787BB834" w14:textId="77777777" w:rsidR="00C66761" w:rsidRPr="003973F0" w:rsidRDefault="00C66761" w:rsidP="00306A9C">
      <w:pPr>
        <w:numPr>
          <w:ilvl w:val="0"/>
          <w:numId w:val="30"/>
        </w:numPr>
        <w:ind w:left="570"/>
        <w:rPr>
          <w:rFonts w:cs="Arial"/>
          <w:sz w:val="20"/>
        </w:rPr>
      </w:pPr>
      <w:r w:rsidRPr="003973F0">
        <w:rPr>
          <w:rFonts w:cs="Arial"/>
          <w:b/>
          <w:sz w:val="20"/>
        </w:rPr>
        <w:t>FINANCIAL IMPLICATIONS</w:t>
      </w:r>
    </w:p>
    <w:p w14:paraId="3D56A4BE" w14:textId="77777777" w:rsidR="00DB0D07" w:rsidRPr="003973F0" w:rsidRDefault="00DB0D07" w:rsidP="00306A9C">
      <w:pPr>
        <w:rPr>
          <w:rFonts w:cs="Arial"/>
          <w:sz w:val="20"/>
        </w:rPr>
      </w:pPr>
    </w:p>
    <w:p w14:paraId="3FFADE9F" w14:textId="77777777" w:rsidR="00C66761" w:rsidRPr="003973F0" w:rsidRDefault="00C66761" w:rsidP="00306A9C">
      <w:pPr>
        <w:ind w:left="567" w:hanging="567"/>
        <w:rPr>
          <w:rFonts w:cs="Arial"/>
          <w:sz w:val="20"/>
        </w:rPr>
      </w:pPr>
      <w:r w:rsidRPr="003973F0">
        <w:rPr>
          <w:rFonts w:cs="Arial"/>
          <w:sz w:val="20"/>
        </w:rPr>
        <w:t>None.</w:t>
      </w:r>
      <w:r w:rsidRPr="003973F0">
        <w:rPr>
          <w:rFonts w:cs="Arial"/>
          <w:sz w:val="20"/>
        </w:rPr>
        <w:tab/>
      </w:r>
    </w:p>
    <w:p w14:paraId="163B4C30" w14:textId="77777777" w:rsidR="00C66761" w:rsidRPr="003973F0" w:rsidRDefault="00C66761" w:rsidP="00306A9C">
      <w:pPr>
        <w:ind w:left="207" w:hanging="567"/>
        <w:rPr>
          <w:rFonts w:cs="Arial"/>
          <w:sz w:val="20"/>
        </w:rPr>
      </w:pPr>
    </w:p>
    <w:p w14:paraId="7BE6796B" w14:textId="77777777" w:rsidR="00C66761" w:rsidRPr="003973F0" w:rsidRDefault="00C66761" w:rsidP="00306A9C">
      <w:pPr>
        <w:pStyle w:val="BodyText2"/>
        <w:numPr>
          <w:ilvl w:val="0"/>
          <w:numId w:val="30"/>
        </w:numPr>
        <w:ind w:left="570"/>
        <w:rPr>
          <w:rFonts w:cs="Arial"/>
          <w:sz w:val="20"/>
        </w:rPr>
      </w:pPr>
      <w:r w:rsidRPr="003973F0">
        <w:rPr>
          <w:rFonts w:cs="Arial"/>
          <w:b/>
          <w:sz w:val="20"/>
        </w:rPr>
        <w:t>INTRODUCTION</w:t>
      </w:r>
    </w:p>
    <w:p w14:paraId="53CCEF9D" w14:textId="77777777" w:rsidR="00DB0D07" w:rsidRPr="003973F0" w:rsidRDefault="00DB0D07" w:rsidP="00306A9C">
      <w:pPr>
        <w:pStyle w:val="BodyText2"/>
        <w:ind w:left="0" w:firstLine="0"/>
        <w:rPr>
          <w:rFonts w:cs="Arial"/>
          <w:sz w:val="20"/>
        </w:rPr>
      </w:pPr>
    </w:p>
    <w:p w14:paraId="781129AE" w14:textId="27803319" w:rsidR="00C66761" w:rsidRPr="003973F0" w:rsidRDefault="00C66761" w:rsidP="00306A9C">
      <w:pPr>
        <w:jc w:val="both"/>
        <w:rPr>
          <w:rFonts w:cs="Arial"/>
          <w:sz w:val="20"/>
        </w:rPr>
      </w:pPr>
      <w:r w:rsidRPr="003973F0">
        <w:rPr>
          <w:rFonts w:cs="Arial"/>
          <w:sz w:val="20"/>
        </w:rPr>
        <w:t xml:space="preserve">The </w:t>
      </w:r>
      <w:r w:rsidR="00FA6ADD" w:rsidRPr="003973F0">
        <w:rPr>
          <w:rFonts w:cs="Arial"/>
          <w:sz w:val="20"/>
        </w:rPr>
        <w:t xml:space="preserve">Pension Sub-committee of the </w:t>
      </w:r>
      <w:r w:rsidR="00266541">
        <w:rPr>
          <w:rFonts w:cs="Arial"/>
          <w:sz w:val="20"/>
        </w:rPr>
        <w:t>City Governance</w:t>
      </w:r>
      <w:r w:rsidRPr="003973F0">
        <w:rPr>
          <w:rFonts w:cs="Arial"/>
          <w:sz w:val="20"/>
        </w:rPr>
        <w:t xml:space="preserve"> Committee</w:t>
      </w:r>
      <w:r w:rsidR="00915676">
        <w:rPr>
          <w:rFonts w:cs="Arial"/>
          <w:sz w:val="20"/>
        </w:rPr>
        <w:t xml:space="preserve"> and Pension Board</w:t>
      </w:r>
      <w:r w:rsidRPr="003973F0">
        <w:rPr>
          <w:rFonts w:cs="Arial"/>
          <w:sz w:val="20"/>
        </w:rPr>
        <w:t xml:space="preserve"> approved the current Treasury Policy Statement on </w:t>
      </w:r>
      <w:r w:rsidR="00EC7904">
        <w:rPr>
          <w:rFonts w:cs="Arial"/>
          <w:sz w:val="20"/>
        </w:rPr>
        <w:t>1</w:t>
      </w:r>
      <w:r w:rsidR="0008062F">
        <w:rPr>
          <w:rFonts w:cs="Arial"/>
          <w:sz w:val="20"/>
        </w:rPr>
        <w:t>7</w:t>
      </w:r>
      <w:r w:rsidR="00FA6ADD" w:rsidRPr="003973F0">
        <w:rPr>
          <w:rFonts w:cs="Arial"/>
          <w:sz w:val="20"/>
        </w:rPr>
        <w:t xml:space="preserve"> March</w:t>
      </w:r>
      <w:r w:rsidRPr="003973F0">
        <w:rPr>
          <w:rFonts w:cs="Arial"/>
          <w:sz w:val="20"/>
        </w:rPr>
        <w:t xml:space="preserve"> 20</w:t>
      </w:r>
      <w:r w:rsidR="000871DD">
        <w:rPr>
          <w:rFonts w:cs="Arial"/>
          <w:sz w:val="20"/>
        </w:rPr>
        <w:t>2</w:t>
      </w:r>
      <w:r w:rsidR="0008062F">
        <w:rPr>
          <w:rFonts w:cs="Arial"/>
          <w:sz w:val="20"/>
        </w:rPr>
        <w:t>5</w:t>
      </w:r>
      <w:r w:rsidRPr="003973F0">
        <w:rPr>
          <w:rFonts w:cs="Arial"/>
          <w:sz w:val="20"/>
        </w:rPr>
        <w:t xml:space="preserve"> (Report </w:t>
      </w:r>
      <w:r w:rsidR="0022636E">
        <w:rPr>
          <w:rFonts w:cs="Arial"/>
          <w:sz w:val="20"/>
        </w:rPr>
        <w:t>n</w:t>
      </w:r>
      <w:r w:rsidRPr="003973F0">
        <w:rPr>
          <w:rFonts w:cs="Arial"/>
          <w:sz w:val="20"/>
        </w:rPr>
        <w:t xml:space="preserve">o </w:t>
      </w:r>
      <w:r w:rsidR="00AF20EA">
        <w:rPr>
          <w:rFonts w:cs="Arial"/>
          <w:sz w:val="20"/>
        </w:rPr>
        <w:t>98</w:t>
      </w:r>
      <w:r w:rsidRPr="003973F0">
        <w:rPr>
          <w:rFonts w:cs="Arial"/>
          <w:sz w:val="20"/>
        </w:rPr>
        <w:t>-20</w:t>
      </w:r>
      <w:r w:rsidR="000871DD">
        <w:rPr>
          <w:rFonts w:cs="Arial"/>
          <w:sz w:val="20"/>
        </w:rPr>
        <w:t>2</w:t>
      </w:r>
      <w:r w:rsidR="00AF20EA">
        <w:rPr>
          <w:rFonts w:cs="Arial"/>
          <w:sz w:val="20"/>
        </w:rPr>
        <w:t>5</w:t>
      </w:r>
      <w:r w:rsidRPr="003973F0">
        <w:rPr>
          <w:rFonts w:cs="Arial"/>
          <w:sz w:val="20"/>
        </w:rPr>
        <w:t xml:space="preserve">) which incorporated activities of Tayside Pension Fund.  The statement is subject to </w:t>
      </w:r>
      <w:r w:rsidR="00AF20EA">
        <w:rPr>
          <w:rFonts w:cs="Arial"/>
          <w:sz w:val="20"/>
        </w:rPr>
        <w:t>annual review</w:t>
      </w:r>
      <w:r w:rsidRPr="003973F0">
        <w:rPr>
          <w:rFonts w:cs="Arial"/>
          <w:sz w:val="20"/>
        </w:rPr>
        <w:t xml:space="preserve"> or earlier in the event of a major policy change.</w:t>
      </w:r>
    </w:p>
    <w:p w14:paraId="4578FBA3" w14:textId="77777777" w:rsidR="00C66761" w:rsidRPr="003973F0" w:rsidRDefault="00C66761" w:rsidP="00306A9C">
      <w:pPr>
        <w:pStyle w:val="BodyText2"/>
        <w:ind w:left="207"/>
        <w:rPr>
          <w:rFonts w:cs="Arial"/>
          <w:sz w:val="20"/>
        </w:rPr>
      </w:pPr>
    </w:p>
    <w:p w14:paraId="4D5A66C5" w14:textId="77777777" w:rsidR="00C66761" w:rsidRPr="003973F0" w:rsidRDefault="00C66761" w:rsidP="00306A9C">
      <w:pPr>
        <w:pStyle w:val="BodyText2"/>
        <w:numPr>
          <w:ilvl w:val="0"/>
          <w:numId w:val="30"/>
        </w:numPr>
        <w:ind w:left="570"/>
        <w:rPr>
          <w:rFonts w:cs="Arial"/>
          <w:sz w:val="20"/>
        </w:rPr>
      </w:pPr>
      <w:r w:rsidRPr="003973F0">
        <w:rPr>
          <w:rFonts w:cs="Arial"/>
          <w:b/>
          <w:sz w:val="20"/>
        </w:rPr>
        <w:t>TREASURY POLICY STATEMENT</w:t>
      </w:r>
    </w:p>
    <w:p w14:paraId="20256324" w14:textId="77777777" w:rsidR="00DB0D07" w:rsidRPr="003973F0" w:rsidRDefault="00DB0D07" w:rsidP="00306A9C">
      <w:pPr>
        <w:pStyle w:val="BodyText2"/>
        <w:ind w:left="0" w:firstLine="0"/>
        <w:rPr>
          <w:rFonts w:cs="Arial"/>
          <w:sz w:val="20"/>
        </w:rPr>
      </w:pPr>
    </w:p>
    <w:p w14:paraId="5559322B" w14:textId="77777777" w:rsidR="00C66761" w:rsidRPr="003973F0" w:rsidRDefault="00C66761" w:rsidP="00306A9C">
      <w:pPr>
        <w:jc w:val="both"/>
        <w:rPr>
          <w:rFonts w:cs="Arial"/>
          <w:sz w:val="20"/>
        </w:rPr>
      </w:pPr>
      <w:r w:rsidRPr="003973F0">
        <w:rPr>
          <w:rFonts w:cs="Arial"/>
          <w:sz w:val="20"/>
        </w:rPr>
        <w:t>This document sets out the policies and objectives of Tayside Pension Fund’s Treasury Management activities and the practices which will be used to achieve these.</w:t>
      </w:r>
    </w:p>
    <w:p w14:paraId="59E69082" w14:textId="667D1B78" w:rsidR="00C66761" w:rsidRPr="003973F0" w:rsidRDefault="00C66761" w:rsidP="00306A9C">
      <w:pPr>
        <w:jc w:val="both"/>
        <w:rPr>
          <w:rFonts w:cs="Arial"/>
          <w:sz w:val="20"/>
        </w:rPr>
      </w:pPr>
      <w:r w:rsidRPr="003973F0">
        <w:rPr>
          <w:rFonts w:cs="Arial"/>
          <w:sz w:val="20"/>
        </w:rPr>
        <w:t>It contains</w:t>
      </w:r>
      <w:r w:rsidR="00A1233F">
        <w:rPr>
          <w:rFonts w:cs="Arial"/>
          <w:sz w:val="20"/>
        </w:rPr>
        <w:t>:</w:t>
      </w:r>
    </w:p>
    <w:p w14:paraId="7D42B2D9" w14:textId="77777777" w:rsidR="00C66761" w:rsidRPr="003973F0" w:rsidRDefault="00C66761" w:rsidP="00306A9C">
      <w:pPr>
        <w:rPr>
          <w:rFonts w:cs="Arial"/>
          <w:sz w:val="20"/>
        </w:rPr>
      </w:pPr>
    </w:p>
    <w:p w14:paraId="02D4370E" w14:textId="77777777" w:rsidR="00C66761" w:rsidRPr="003973F0" w:rsidRDefault="00C66761" w:rsidP="00306A9C">
      <w:pPr>
        <w:pStyle w:val="BodyText2"/>
        <w:numPr>
          <w:ilvl w:val="0"/>
          <w:numId w:val="31"/>
        </w:numPr>
        <w:ind w:left="360"/>
        <w:rPr>
          <w:rFonts w:cs="Arial"/>
          <w:sz w:val="20"/>
        </w:rPr>
      </w:pPr>
      <w:r w:rsidRPr="003973F0">
        <w:rPr>
          <w:rFonts w:cs="Arial"/>
          <w:sz w:val="20"/>
        </w:rPr>
        <w:t>Treasury Management Policy Statement</w:t>
      </w:r>
    </w:p>
    <w:p w14:paraId="2250D041" w14:textId="77777777" w:rsidR="00C66761" w:rsidRPr="003973F0" w:rsidRDefault="00C66761" w:rsidP="00306A9C">
      <w:pPr>
        <w:numPr>
          <w:ilvl w:val="0"/>
          <w:numId w:val="31"/>
        </w:numPr>
        <w:ind w:left="360"/>
        <w:rPr>
          <w:rFonts w:cs="Arial"/>
          <w:sz w:val="20"/>
        </w:rPr>
      </w:pPr>
      <w:r w:rsidRPr="003973F0">
        <w:rPr>
          <w:rFonts w:cs="Arial"/>
          <w:sz w:val="20"/>
        </w:rPr>
        <w:t>Delegations of Authority and Governance</w:t>
      </w:r>
    </w:p>
    <w:p w14:paraId="115221FD" w14:textId="77777777" w:rsidR="00C66761" w:rsidRPr="003973F0" w:rsidRDefault="00C66761" w:rsidP="00306A9C">
      <w:pPr>
        <w:numPr>
          <w:ilvl w:val="0"/>
          <w:numId w:val="31"/>
        </w:numPr>
        <w:ind w:left="360"/>
        <w:rPr>
          <w:rFonts w:cs="Arial"/>
          <w:sz w:val="20"/>
        </w:rPr>
      </w:pPr>
      <w:r w:rsidRPr="003973F0">
        <w:rPr>
          <w:rFonts w:cs="Arial"/>
          <w:sz w:val="20"/>
        </w:rPr>
        <w:t>Creditworthiness &amp; Permitted Counterparties</w:t>
      </w:r>
    </w:p>
    <w:p w14:paraId="16EE9F42" w14:textId="77777777" w:rsidR="00C66761" w:rsidRPr="003973F0" w:rsidRDefault="00C66761" w:rsidP="00306A9C">
      <w:pPr>
        <w:numPr>
          <w:ilvl w:val="0"/>
          <w:numId w:val="31"/>
        </w:numPr>
        <w:ind w:left="360"/>
        <w:rPr>
          <w:rFonts w:cs="Arial"/>
          <w:sz w:val="20"/>
        </w:rPr>
      </w:pPr>
      <w:r w:rsidRPr="003973F0">
        <w:rPr>
          <w:rFonts w:cs="Arial"/>
          <w:sz w:val="20"/>
        </w:rPr>
        <w:t>Cash &amp; Liquidity Management Policies</w:t>
      </w:r>
    </w:p>
    <w:p w14:paraId="5B60713B" w14:textId="77777777" w:rsidR="00C66761" w:rsidRDefault="00C66761" w:rsidP="00306A9C">
      <w:pPr>
        <w:numPr>
          <w:ilvl w:val="0"/>
          <w:numId w:val="31"/>
        </w:numPr>
        <w:ind w:left="360"/>
        <w:rPr>
          <w:rFonts w:cs="Arial"/>
          <w:sz w:val="20"/>
        </w:rPr>
      </w:pPr>
      <w:r w:rsidRPr="003973F0">
        <w:rPr>
          <w:rFonts w:cs="Arial"/>
          <w:sz w:val="20"/>
        </w:rPr>
        <w:t xml:space="preserve">Treasury Management Practices (Main Principles in </w:t>
      </w:r>
      <w:r w:rsidRPr="002F08E2">
        <w:rPr>
          <w:rFonts w:cs="Arial"/>
          <w:sz w:val="20"/>
        </w:rPr>
        <w:t>12 key areas</w:t>
      </w:r>
      <w:r w:rsidRPr="003973F0">
        <w:rPr>
          <w:rFonts w:cs="Arial"/>
          <w:sz w:val="20"/>
        </w:rPr>
        <w:t>)</w:t>
      </w:r>
    </w:p>
    <w:p w14:paraId="05C9E8F6" w14:textId="004460FE" w:rsidR="00A1233F" w:rsidRPr="003973F0" w:rsidRDefault="00A1233F" w:rsidP="00306A9C">
      <w:pPr>
        <w:numPr>
          <w:ilvl w:val="0"/>
          <w:numId w:val="31"/>
        </w:numPr>
        <w:ind w:left="360"/>
        <w:rPr>
          <w:rFonts w:cs="Arial"/>
          <w:sz w:val="20"/>
        </w:rPr>
      </w:pPr>
      <w:r>
        <w:rPr>
          <w:rFonts w:cs="Arial"/>
          <w:sz w:val="20"/>
        </w:rPr>
        <w:t>Rebalancing</w:t>
      </w:r>
    </w:p>
    <w:p w14:paraId="1DE4BE80" w14:textId="77777777" w:rsidR="00C66761" w:rsidRPr="003973F0" w:rsidRDefault="00C66761" w:rsidP="00306A9C">
      <w:pPr>
        <w:pStyle w:val="BodyText2"/>
        <w:ind w:left="0" w:firstLine="0"/>
        <w:rPr>
          <w:rFonts w:cs="Arial"/>
          <w:sz w:val="20"/>
        </w:rPr>
      </w:pPr>
    </w:p>
    <w:p w14:paraId="6B6CF4B6" w14:textId="77777777" w:rsidR="00C66761" w:rsidRPr="003973F0" w:rsidRDefault="00C66761" w:rsidP="00306A9C">
      <w:pPr>
        <w:pStyle w:val="BodyText2"/>
        <w:numPr>
          <w:ilvl w:val="0"/>
          <w:numId w:val="30"/>
        </w:numPr>
        <w:ind w:left="570"/>
        <w:rPr>
          <w:rFonts w:cs="Arial"/>
          <w:sz w:val="20"/>
        </w:rPr>
      </w:pPr>
      <w:r w:rsidRPr="003973F0">
        <w:rPr>
          <w:rFonts w:cs="Arial"/>
          <w:b/>
          <w:sz w:val="20"/>
        </w:rPr>
        <w:t>POLICY IMPLICATIONS</w:t>
      </w:r>
    </w:p>
    <w:p w14:paraId="4DF4DD82" w14:textId="77777777" w:rsidR="00DB0D07" w:rsidRPr="003973F0" w:rsidRDefault="00DB0D07" w:rsidP="00306A9C">
      <w:pPr>
        <w:pStyle w:val="BodyText2"/>
        <w:ind w:left="0" w:firstLine="0"/>
        <w:rPr>
          <w:rFonts w:cs="Arial"/>
          <w:sz w:val="20"/>
        </w:rPr>
      </w:pPr>
    </w:p>
    <w:p w14:paraId="78A24C87" w14:textId="7497967E" w:rsidR="00DB0D07" w:rsidRDefault="00610E5B" w:rsidP="000D6B0D">
      <w:pPr>
        <w:tabs>
          <w:tab w:val="left" w:pos="6120"/>
          <w:tab w:val="left" w:pos="7380"/>
        </w:tabs>
        <w:ind w:hanging="11"/>
        <w:jc w:val="both"/>
        <w:rPr>
          <w:rFonts w:cs="Arial"/>
          <w:sz w:val="20"/>
        </w:rPr>
      </w:pPr>
      <w:r w:rsidRPr="00610E5B">
        <w:rPr>
          <w:rFonts w:cs="Arial"/>
          <w:sz w:val="20"/>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r w:rsidR="000D6B0D">
        <w:rPr>
          <w:rFonts w:cs="Arial"/>
          <w:sz w:val="20"/>
        </w:rPr>
        <w:t xml:space="preserve"> </w:t>
      </w:r>
      <w:r w:rsidR="00C66761" w:rsidRPr="003973F0">
        <w:rPr>
          <w:rFonts w:cs="Arial"/>
          <w:sz w:val="20"/>
        </w:rPr>
        <w:t xml:space="preserve">The major issues identified relate to Risk Management and these are addressed in Treasury Management Practices.  </w:t>
      </w:r>
    </w:p>
    <w:p w14:paraId="055EBD8C" w14:textId="77777777" w:rsidR="003973F0" w:rsidRPr="003973F0" w:rsidRDefault="003973F0" w:rsidP="00306A9C">
      <w:pPr>
        <w:ind w:left="360"/>
        <w:rPr>
          <w:rFonts w:cs="Arial"/>
          <w:sz w:val="20"/>
        </w:rPr>
      </w:pPr>
    </w:p>
    <w:p w14:paraId="1E9A69EB" w14:textId="77777777" w:rsidR="00C66761" w:rsidRPr="003973F0" w:rsidRDefault="00C66761" w:rsidP="00306A9C">
      <w:pPr>
        <w:pStyle w:val="BodyText2"/>
        <w:numPr>
          <w:ilvl w:val="0"/>
          <w:numId w:val="30"/>
        </w:numPr>
        <w:ind w:left="570"/>
        <w:rPr>
          <w:rFonts w:cs="Arial"/>
          <w:sz w:val="20"/>
        </w:rPr>
      </w:pPr>
      <w:r w:rsidRPr="003973F0">
        <w:rPr>
          <w:rFonts w:cs="Arial"/>
          <w:b/>
          <w:sz w:val="20"/>
        </w:rPr>
        <w:t>CONSULTATION</w:t>
      </w:r>
    </w:p>
    <w:p w14:paraId="24DE2FD8" w14:textId="77777777" w:rsidR="00DB0D07" w:rsidRPr="003973F0" w:rsidRDefault="00DB0D07" w:rsidP="00306A9C">
      <w:pPr>
        <w:pStyle w:val="BodyText2"/>
        <w:ind w:left="0" w:firstLine="0"/>
        <w:rPr>
          <w:rFonts w:cs="Arial"/>
          <w:sz w:val="20"/>
        </w:rPr>
      </w:pPr>
    </w:p>
    <w:p w14:paraId="7ADE3247" w14:textId="77777777" w:rsidR="00306A9C" w:rsidRDefault="00C66761" w:rsidP="00306A9C">
      <w:pPr>
        <w:pStyle w:val="BodyText2"/>
        <w:rPr>
          <w:rFonts w:cs="Arial"/>
          <w:sz w:val="20"/>
        </w:rPr>
      </w:pPr>
      <w:r w:rsidRPr="003973F0">
        <w:rPr>
          <w:rFonts w:cs="Arial"/>
          <w:sz w:val="20"/>
        </w:rPr>
        <w:t>The Chief Executive and the Head of Democratic and Legal Services have been consulted in the</w:t>
      </w:r>
    </w:p>
    <w:p w14:paraId="393BD291" w14:textId="77777777" w:rsidR="00C66761" w:rsidRPr="003973F0" w:rsidRDefault="00306A9C" w:rsidP="00306A9C">
      <w:pPr>
        <w:pStyle w:val="BodyText2"/>
        <w:rPr>
          <w:rFonts w:cs="Arial"/>
          <w:sz w:val="20"/>
        </w:rPr>
      </w:pPr>
      <w:r>
        <w:rPr>
          <w:rFonts w:cs="Arial"/>
          <w:sz w:val="20"/>
        </w:rPr>
        <w:t>p</w:t>
      </w:r>
      <w:r w:rsidR="00C66761" w:rsidRPr="003973F0">
        <w:rPr>
          <w:rFonts w:cs="Arial"/>
          <w:sz w:val="20"/>
        </w:rPr>
        <w:t>reparation of this report.</w:t>
      </w:r>
    </w:p>
    <w:p w14:paraId="4709D96B" w14:textId="77777777" w:rsidR="00C66761" w:rsidRPr="003973F0" w:rsidRDefault="00C66761" w:rsidP="00306A9C">
      <w:pPr>
        <w:pStyle w:val="BodyText2"/>
        <w:ind w:left="207"/>
        <w:rPr>
          <w:rFonts w:cs="Arial"/>
          <w:sz w:val="20"/>
        </w:rPr>
      </w:pPr>
    </w:p>
    <w:p w14:paraId="5FE6C86B" w14:textId="77777777" w:rsidR="00C66761" w:rsidRPr="003973F0" w:rsidRDefault="00C66761" w:rsidP="00306A9C">
      <w:pPr>
        <w:pStyle w:val="BodyText2"/>
        <w:numPr>
          <w:ilvl w:val="0"/>
          <w:numId w:val="30"/>
        </w:numPr>
        <w:ind w:left="570"/>
        <w:rPr>
          <w:rFonts w:cs="Arial"/>
          <w:sz w:val="20"/>
        </w:rPr>
      </w:pPr>
      <w:r w:rsidRPr="003973F0">
        <w:rPr>
          <w:rFonts w:cs="Arial"/>
          <w:b/>
          <w:sz w:val="20"/>
        </w:rPr>
        <w:t>BACKGROUND PAPERS</w:t>
      </w:r>
    </w:p>
    <w:p w14:paraId="33A395F3" w14:textId="77777777" w:rsidR="00DB0D07" w:rsidRPr="003973F0" w:rsidRDefault="00DB0D07" w:rsidP="00306A9C">
      <w:pPr>
        <w:pStyle w:val="BodyText2"/>
        <w:ind w:left="0" w:firstLine="0"/>
        <w:rPr>
          <w:rFonts w:cs="Arial"/>
          <w:sz w:val="20"/>
        </w:rPr>
      </w:pPr>
    </w:p>
    <w:p w14:paraId="25BC6664" w14:textId="77777777" w:rsidR="00C66761" w:rsidRPr="003973F0" w:rsidRDefault="00DB0D07" w:rsidP="00306A9C">
      <w:pPr>
        <w:pStyle w:val="BodyText2"/>
        <w:ind w:left="207" w:hanging="207"/>
        <w:rPr>
          <w:rFonts w:cs="Arial"/>
          <w:sz w:val="20"/>
        </w:rPr>
      </w:pPr>
      <w:r w:rsidRPr="003973F0">
        <w:rPr>
          <w:rFonts w:cs="Arial"/>
          <w:sz w:val="20"/>
        </w:rPr>
        <w:t>None</w:t>
      </w:r>
    </w:p>
    <w:p w14:paraId="47B0DF5F" w14:textId="77777777" w:rsidR="00C66761" w:rsidRPr="003973F0" w:rsidRDefault="00C66761" w:rsidP="00C66761">
      <w:pPr>
        <w:pStyle w:val="BodyText2"/>
        <w:rPr>
          <w:rFonts w:cs="Arial"/>
          <w:sz w:val="20"/>
        </w:rPr>
      </w:pPr>
    </w:p>
    <w:p w14:paraId="67761F91" w14:textId="5FE21497" w:rsidR="00C66761" w:rsidRPr="003973F0" w:rsidRDefault="00E66781" w:rsidP="00C66761">
      <w:pPr>
        <w:rPr>
          <w:rFonts w:cs="Arial"/>
          <w:b/>
          <w:sz w:val="20"/>
        </w:rPr>
      </w:pPr>
      <w:r>
        <w:rPr>
          <w:rFonts w:cs="Arial"/>
          <w:b/>
          <w:sz w:val="20"/>
        </w:rPr>
        <w:t>PAUL THOMSON</w:t>
      </w:r>
    </w:p>
    <w:p w14:paraId="39A5F8A2" w14:textId="772D1954" w:rsidR="00C66761" w:rsidRPr="003973F0" w:rsidRDefault="00C66761" w:rsidP="00C66761">
      <w:pPr>
        <w:rPr>
          <w:rFonts w:cs="Arial"/>
          <w:b/>
          <w:caps/>
          <w:sz w:val="20"/>
        </w:rPr>
      </w:pPr>
      <w:r w:rsidRPr="003973F0">
        <w:rPr>
          <w:rFonts w:cs="Arial"/>
          <w:b/>
          <w:caps/>
          <w:sz w:val="20"/>
        </w:rPr>
        <w:t>EXECUTIVE director OF CORPORATE SERVICES</w:t>
      </w:r>
      <w:r w:rsidRPr="003973F0">
        <w:rPr>
          <w:rFonts w:cs="Arial"/>
          <w:b/>
          <w:caps/>
          <w:sz w:val="20"/>
        </w:rPr>
        <w:tab/>
      </w:r>
      <w:r w:rsidRPr="003973F0">
        <w:rPr>
          <w:rFonts w:cs="Arial"/>
          <w:b/>
          <w:caps/>
          <w:sz w:val="20"/>
        </w:rPr>
        <w:tab/>
      </w:r>
      <w:r w:rsidRPr="003973F0">
        <w:rPr>
          <w:rFonts w:cs="Arial"/>
          <w:b/>
          <w:caps/>
          <w:sz w:val="20"/>
        </w:rPr>
        <w:tab/>
      </w:r>
      <w:r w:rsidRPr="003973F0">
        <w:rPr>
          <w:rFonts w:cs="Arial"/>
          <w:b/>
          <w:caps/>
          <w:sz w:val="20"/>
        </w:rPr>
        <w:fldChar w:fldCharType="begin"/>
      </w:r>
      <w:r w:rsidRPr="003973F0">
        <w:rPr>
          <w:rFonts w:cs="Arial"/>
          <w:b/>
          <w:caps/>
          <w:sz w:val="20"/>
        </w:rPr>
        <w:instrText xml:space="preserve"> DATE  \@ "d MMMM yyyy"  \* MERGEFORMAT </w:instrText>
      </w:r>
      <w:r w:rsidRPr="003973F0">
        <w:rPr>
          <w:rFonts w:cs="Arial"/>
          <w:b/>
          <w:caps/>
          <w:sz w:val="20"/>
        </w:rPr>
        <w:fldChar w:fldCharType="separate"/>
      </w:r>
      <w:r w:rsidR="002B4F76">
        <w:rPr>
          <w:rFonts w:cs="Arial"/>
          <w:b/>
          <w:caps/>
          <w:noProof/>
          <w:sz w:val="20"/>
        </w:rPr>
        <w:t>28 August 2025</w:t>
      </w:r>
      <w:r w:rsidRPr="003973F0">
        <w:rPr>
          <w:rFonts w:cs="Arial"/>
          <w:b/>
          <w:caps/>
          <w:sz w:val="20"/>
        </w:rPr>
        <w:fldChar w:fldCharType="end"/>
      </w:r>
    </w:p>
    <w:p w14:paraId="2F403B77" w14:textId="77777777" w:rsidR="00C66761" w:rsidRPr="003973F0" w:rsidRDefault="00C66761" w:rsidP="00C66761">
      <w:pPr>
        <w:jc w:val="both"/>
        <w:rPr>
          <w:rFonts w:cs="Arial"/>
          <w:b/>
          <w:caps/>
          <w:sz w:val="20"/>
        </w:rPr>
      </w:pPr>
    </w:p>
    <w:p w14:paraId="4E360B30" w14:textId="77777777" w:rsidR="00C66761" w:rsidRDefault="00C66761" w:rsidP="0074665F">
      <w:pPr>
        <w:pStyle w:val="Title"/>
        <w:jc w:val="both"/>
        <w:rPr>
          <w:rFonts w:cs="Arial"/>
          <w:sz w:val="20"/>
        </w:rPr>
      </w:pPr>
    </w:p>
    <w:p w14:paraId="0A580ACE" w14:textId="77777777" w:rsidR="003973F0" w:rsidRDefault="003973F0" w:rsidP="0074665F">
      <w:pPr>
        <w:pStyle w:val="Title"/>
        <w:jc w:val="both"/>
        <w:rPr>
          <w:rFonts w:cs="Arial"/>
          <w:sz w:val="20"/>
        </w:rPr>
      </w:pPr>
    </w:p>
    <w:p w14:paraId="6EA3368F" w14:textId="77777777" w:rsidR="003973F0" w:rsidRDefault="003973F0" w:rsidP="0074665F">
      <w:pPr>
        <w:pStyle w:val="Title"/>
        <w:jc w:val="both"/>
        <w:rPr>
          <w:rFonts w:cs="Arial"/>
          <w:sz w:val="20"/>
        </w:rPr>
      </w:pPr>
    </w:p>
    <w:p w14:paraId="0670EEDC" w14:textId="77777777" w:rsidR="003973F0" w:rsidRPr="003973F0" w:rsidRDefault="003973F0" w:rsidP="0074665F">
      <w:pPr>
        <w:pStyle w:val="Title"/>
        <w:jc w:val="both"/>
        <w:rPr>
          <w:rFonts w:cs="Arial"/>
          <w:sz w:val="20"/>
        </w:rPr>
      </w:pPr>
    </w:p>
    <w:p w14:paraId="35881868" w14:textId="77777777" w:rsidR="00EC567E" w:rsidRPr="003973F0" w:rsidRDefault="00EC567E" w:rsidP="0074665F">
      <w:pPr>
        <w:pStyle w:val="Title"/>
        <w:jc w:val="both"/>
        <w:rPr>
          <w:rFonts w:cs="Arial"/>
          <w:sz w:val="20"/>
        </w:rPr>
      </w:pPr>
    </w:p>
    <w:p w14:paraId="411D273F" w14:textId="77777777" w:rsidR="00EC567E" w:rsidRPr="003973F0" w:rsidRDefault="00F302CB" w:rsidP="00CA5478">
      <w:pPr>
        <w:pStyle w:val="Title"/>
        <w:rPr>
          <w:rFonts w:cs="Arial"/>
          <w:sz w:val="20"/>
        </w:rPr>
      </w:pPr>
      <w:r w:rsidRPr="003973F0">
        <w:rPr>
          <w:rFonts w:cs="Arial"/>
          <w:caps/>
          <w:noProof/>
          <w:sz w:val="20"/>
          <w:u w:val="none"/>
          <w:lang w:eastAsia="en-GB"/>
        </w:rPr>
        <w:drawing>
          <wp:inline distT="0" distB="0" distL="0" distR="0" wp14:anchorId="2098001D" wp14:editId="024920EC">
            <wp:extent cx="4162425" cy="2371725"/>
            <wp:effectExtent l="0" t="0" r="0" b="0"/>
            <wp:docPr id="1" name="Picture 5" descr="C:\Users\stuart.norrie\AppData\Local\Temp\6\Domino Web Access\tpflogoducolour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art.norrie\AppData\Local\Temp\6\Domino Web Access\tpflogoducolourl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2371725"/>
                    </a:xfrm>
                    <a:prstGeom prst="rect">
                      <a:avLst/>
                    </a:prstGeom>
                    <a:noFill/>
                    <a:ln>
                      <a:noFill/>
                    </a:ln>
                  </pic:spPr>
                </pic:pic>
              </a:graphicData>
            </a:graphic>
          </wp:inline>
        </w:drawing>
      </w:r>
    </w:p>
    <w:p w14:paraId="16777115" w14:textId="77777777" w:rsidR="005257D9" w:rsidRPr="003973F0" w:rsidRDefault="005257D9" w:rsidP="0074665F">
      <w:pPr>
        <w:jc w:val="both"/>
        <w:rPr>
          <w:rFonts w:cs="Arial"/>
          <w:b/>
          <w:bCs/>
          <w:sz w:val="20"/>
          <w:u w:val="single"/>
        </w:rPr>
      </w:pPr>
    </w:p>
    <w:p w14:paraId="7F39FA42" w14:textId="77777777" w:rsidR="005257D9" w:rsidRPr="003973F0" w:rsidRDefault="005257D9" w:rsidP="0074665F">
      <w:pPr>
        <w:pStyle w:val="Heading2"/>
        <w:jc w:val="both"/>
        <w:rPr>
          <w:rFonts w:cs="Arial"/>
          <w:sz w:val="20"/>
          <w:u w:val="single"/>
        </w:rPr>
      </w:pPr>
    </w:p>
    <w:p w14:paraId="6E42A8B0" w14:textId="77777777" w:rsidR="005257D9" w:rsidRPr="003973F0" w:rsidRDefault="005257D9" w:rsidP="0074665F">
      <w:pPr>
        <w:pStyle w:val="Heading2"/>
        <w:jc w:val="both"/>
        <w:rPr>
          <w:rFonts w:cs="Arial"/>
          <w:sz w:val="20"/>
          <w:u w:val="single"/>
        </w:rPr>
      </w:pPr>
    </w:p>
    <w:p w14:paraId="0E4E6BBD" w14:textId="77777777" w:rsidR="005257D9" w:rsidRPr="003973F0" w:rsidRDefault="005257D9" w:rsidP="0074665F">
      <w:pPr>
        <w:pStyle w:val="Heading2"/>
        <w:jc w:val="both"/>
        <w:rPr>
          <w:rFonts w:cs="Arial"/>
          <w:sz w:val="20"/>
          <w:u w:val="single"/>
        </w:rPr>
      </w:pPr>
    </w:p>
    <w:p w14:paraId="7187F89D" w14:textId="77777777" w:rsidR="005257D9" w:rsidRPr="003973F0" w:rsidRDefault="005257D9" w:rsidP="0074665F">
      <w:pPr>
        <w:pStyle w:val="Heading2"/>
        <w:jc w:val="both"/>
        <w:rPr>
          <w:rFonts w:cs="Arial"/>
          <w:sz w:val="20"/>
          <w:u w:val="single"/>
        </w:rPr>
      </w:pPr>
    </w:p>
    <w:p w14:paraId="08599FC4" w14:textId="77777777" w:rsidR="005257D9" w:rsidRPr="003973F0" w:rsidRDefault="005257D9" w:rsidP="0074665F">
      <w:pPr>
        <w:pStyle w:val="Heading2"/>
        <w:jc w:val="center"/>
        <w:rPr>
          <w:rFonts w:cs="Arial"/>
          <w:sz w:val="20"/>
          <w:u w:val="single"/>
        </w:rPr>
      </w:pPr>
    </w:p>
    <w:p w14:paraId="7152D813" w14:textId="77777777" w:rsidR="005257D9" w:rsidRPr="003973F0" w:rsidRDefault="005257D9" w:rsidP="0074665F">
      <w:pPr>
        <w:pStyle w:val="Heading2"/>
        <w:jc w:val="center"/>
        <w:rPr>
          <w:rFonts w:cs="Arial"/>
          <w:sz w:val="20"/>
        </w:rPr>
      </w:pPr>
    </w:p>
    <w:p w14:paraId="123841BF" w14:textId="77777777" w:rsidR="005257D9" w:rsidRPr="003973F0" w:rsidRDefault="005257D9" w:rsidP="0074665F">
      <w:pPr>
        <w:jc w:val="center"/>
        <w:rPr>
          <w:rFonts w:cs="Arial"/>
          <w:b/>
          <w:bCs/>
          <w:sz w:val="20"/>
        </w:rPr>
      </w:pPr>
    </w:p>
    <w:p w14:paraId="133F0525" w14:textId="77777777" w:rsidR="005257D9" w:rsidRPr="003973F0" w:rsidRDefault="005257D9" w:rsidP="0074665F">
      <w:pPr>
        <w:jc w:val="center"/>
        <w:rPr>
          <w:rFonts w:cs="Arial"/>
          <w:b/>
          <w:bCs/>
          <w:sz w:val="20"/>
        </w:rPr>
      </w:pPr>
    </w:p>
    <w:p w14:paraId="73B51E3A" w14:textId="77777777" w:rsidR="005257D9" w:rsidRPr="003973F0" w:rsidRDefault="005257D9" w:rsidP="0074665F">
      <w:pPr>
        <w:jc w:val="center"/>
        <w:rPr>
          <w:rFonts w:cs="Arial"/>
          <w:b/>
          <w:bCs/>
          <w:sz w:val="20"/>
        </w:rPr>
      </w:pPr>
    </w:p>
    <w:p w14:paraId="06558358" w14:textId="77777777" w:rsidR="00AD44C3" w:rsidRDefault="005257D9" w:rsidP="0074665F">
      <w:pPr>
        <w:jc w:val="center"/>
        <w:rPr>
          <w:rFonts w:cs="Arial"/>
          <w:b/>
          <w:bCs/>
          <w:sz w:val="32"/>
          <w:szCs w:val="32"/>
        </w:rPr>
      </w:pPr>
      <w:r w:rsidRPr="00AD44C3">
        <w:rPr>
          <w:rFonts w:cs="Arial"/>
          <w:b/>
          <w:bCs/>
          <w:sz w:val="32"/>
          <w:szCs w:val="32"/>
        </w:rPr>
        <w:t>TREASURY POLICY</w:t>
      </w:r>
    </w:p>
    <w:p w14:paraId="199C8C94" w14:textId="2810617C" w:rsidR="00320DA2" w:rsidRPr="00AD44C3" w:rsidRDefault="00B238A2" w:rsidP="0074665F">
      <w:pPr>
        <w:jc w:val="center"/>
        <w:rPr>
          <w:rFonts w:cs="Arial"/>
          <w:b/>
          <w:bCs/>
          <w:sz w:val="32"/>
          <w:szCs w:val="32"/>
        </w:rPr>
      </w:pPr>
      <w:r>
        <w:rPr>
          <w:rFonts w:cs="Arial"/>
          <w:b/>
          <w:bCs/>
          <w:sz w:val="32"/>
          <w:szCs w:val="32"/>
        </w:rPr>
        <w:t>202</w:t>
      </w:r>
      <w:r w:rsidR="00191E6C">
        <w:rPr>
          <w:rFonts w:cs="Arial"/>
          <w:b/>
          <w:bCs/>
          <w:sz w:val="32"/>
          <w:szCs w:val="32"/>
        </w:rPr>
        <w:t>5</w:t>
      </w:r>
      <w:r w:rsidR="00320DA2" w:rsidRPr="00AD44C3">
        <w:rPr>
          <w:rFonts w:cs="Arial"/>
          <w:b/>
          <w:bCs/>
          <w:sz w:val="32"/>
          <w:szCs w:val="32"/>
        </w:rPr>
        <w:t>-20</w:t>
      </w:r>
      <w:r>
        <w:rPr>
          <w:rFonts w:cs="Arial"/>
          <w:b/>
          <w:bCs/>
          <w:sz w:val="32"/>
          <w:szCs w:val="32"/>
        </w:rPr>
        <w:t>2</w:t>
      </w:r>
      <w:r w:rsidR="00191E6C">
        <w:rPr>
          <w:rFonts w:cs="Arial"/>
          <w:b/>
          <w:bCs/>
          <w:sz w:val="32"/>
          <w:szCs w:val="32"/>
        </w:rPr>
        <w:t>6</w:t>
      </w:r>
    </w:p>
    <w:p w14:paraId="25C9D9CA" w14:textId="77777777" w:rsidR="005257D9" w:rsidRPr="003973F0" w:rsidRDefault="005257D9" w:rsidP="0074665F">
      <w:pPr>
        <w:jc w:val="both"/>
        <w:rPr>
          <w:rFonts w:cs="Arial"/>
          <w:sz w:val="20"/>
        </w:rPr>
      </w:pPr>
    </w:p>
    <w:p w14:paraId="4BB4F3EC" w14:textId="77777777" w:rsidR="005257D9" w:rsidRPr="003973F0" w:rsidRDefault="005257D9" w:rsidP="0074665F">
      <w:pPr>
        <w:jc w:val="both"/>
        <w:rPr>
          <w:rFonts w:cs="Arial"/>
          <w:sz w:val="20"/>
        </w:rPr>
      </w:pPr>
    </w:p>
    <w:p w14:paraId="77FE80E5" w14:textId="77777777" w:rsidR="005257D9" w:rsidRPr="003973F0" w:rsidRDefault="005257D9" w:rsidP="0074665F">
      <w:pPr>
        <w:jc w:val="both"/>
        <w:rPr>
          <w:rFonts w:cs="Arial"/>
          <w:sz w:val="20"/>
        </w:rPr>
      </w:pPr>
    </w:p>
    <w:p w14:paraId="79A3BB10" w14:textId="77777777" w:rsidR="005257D9" w:rsidRPr="003973F0" w:rsidRDefault="005257D9" w:rsidP="0074665F">
      <w:pPr>
        <w:jc w:val="both"/>
        <w:rPr>
          <w:rFonts w:cs="Arial"/>
          <w:sz w:val="20"/>
        </w:rPr>
      </w:pPr>
    </w:p>
    <w:p w14:paraId="194C47FB" w14:textId="77777777" w:rsidR="005257D9" w:rsidRPr="003973F0" w:rsidRDefault="005257D9" w:rsidP="0074665F">
      <w:pPr>
        <w:jc w:val="both"/>
        <w:rPr>
          <w:rFonts w:cs="Arial"/>
          <w:sz w:val="20"/>
        </w:rPr>
      </w:pPr>
    </w:p>
    <w:p w14:paraId="1E7222B4" w14:textId="77777777" w:rsidR="005257D9" w:rsidRPr="003973F0" w:rsidRDefault="005257D9" w:rsidP="0074665F">
      <w:pPr>
        <w:jc w:val="both"/>
        <w:rPr>
          <w:rFonts w:cs="Arial"/>
          <w:sz w:val="20"/>
        </w:rPr>
      </w:pPr>
    </w:p>
    <w:p w14:paraId="1BAA27EA" w14:textId="77777777" w:rsidR="005257D9" w:rsidRPr="003973F0" w:rsidRDefault="005257D9" w:rsidP="0074665F">
      <w:pPr>
        <w:jc w:val="both"/>
        <w:rPr>
          <w:rFonts w:cs="Arial"/>
          <w:sz w:val="20"/>
        </w:rPr>
      </w:pPr>
    </w:p>
    <w:p w14:paraId="69C9EB49" w14:textId="77777777" w:rsidR="005257D9" w:rsidRPr="003973F0" w:rsidRDefault="005257D9" w:rsidP="0074665F">
      <w:pPr>
        <w:jc w:val="both"/>
        <w:rPr>
          <w:rFonts w:cs="Arial"/>
          <w:sz w:val="20"/>
        </w:rPr>
      </w:pPr>
    </w:p>
    <w:p w14:paraId="025440F7" w14:textId="77777777" w:rsidR="005257D9" w:rsidRPr="003973F0" w:rsidRDefault="005257D9" w:rsidP="0074665F">
      <w:pPr>
        <w:jc w:val="both"/>
        <w:rPr>
          <w:rFonts w:cs="Arial"/>
          <w:sz w:val="20"/>
        </w:rPr>
      </w:pPr>
    </w:p>
    <w:p w14:paraId="754CF75A" w14:textId="77777777" w:rsidR="005257D9" w:rsidRPr="003973F0" w:rsidRDefault="005257D9" w:rsidP="0074665F">
      <w:pPr>
        <w:jc w:val="both"/>
        <w:rPr>
          <w:rFonts w:cs="Arial"/>
          <w:sz w:val="20"/>
        </w:rPr>
      </w:pPr>
    </w:p>
    <w:p w14:paraId="24BA3DAC" w14:textId="77777777" w:rsidR="005257D9" w:rsidRPr="003973F0" w:rsidRDefault="005257D9" w:rsidP="0074665F">
      <w:pPr>
        <w:jc w:val="both"/>
        <w:rPr>
          <w:rFonts w:cs="Arial"/>
          <w:sz w:val="20"/>
        </w:rPr>
      </w:pPr>
    </w:p>
    <w:p w14:paraId="17DCB159" w14:textId="77777777" w:rsidR="005257D9" w:rsidRPr="003973F0" w:rsidRDefault="005257D9" w:rsidP="0074665F">
      <w:pPr>
        <w:jc w:val="both"/>
        <w:rPr>
          <w:rFonts w:cs="Arial"/>
          <w:sz w:val="20"/>
        </w:rPr>
      </w:pPr>
    </w:p>
    <w:p w14:paraId="088C7036" w14:textId="77777777" w:rsidR="005257D9" w:rsidRPr="003973F0" w:rsidRDefault="005257D9" w:rsidP="0074665F">
      <w:pPr>
        <w:jc w:val="both"/>
        <w:rPr>
          <w:rFonts w:cs="Arial"/>
          <w:sz w:val="20"/>
        </w:rPr>
      </w:pPr>
    </w:p>
    <w:p w14:paraId="0EB98908" w14:textId="77777777" w:rsidR="005257D9" w:rsidRPr="003973F0" w:rsidRDefault="005257D9" w:rsidP="0074665F">
      <w:pPr>
        <w:jc w:val="both"/>
        <w:rPr>
          <w:rFonts w:cs="Arial"/>
          <w:sz w:val="20"/>
        </w:rPr>
      </w:pPr>
    </w:p>
    <w:p w14:paraId="7ECAC155" w14:textId="77777777" w:rsidR="005257D9" w:rsidRPr="003973F0" w:rsidRDefault="005257D9" w:rsidP="0074665F">
      <w:pPr>
        <w:jc w:val="both"/>
        <w:rPr>
          <w:rFonts w:cs="Arial"/>
          <w:sz w:val="20"/>
        </w:rPr>
      </w:pPr>
    </w:p>
    <w:p w14:paraId="4367DA62" w14:textId="77777777" w:rsidR="005257D9" w:rsidRPr="003973F0" w:rsidRDefault="005257D9" w:rsidP="0074665F">
      <w:pPr>
        <w:jc w:val="both"/>
        <w:rPr>
          <w:rFonts w:cs="Arial"/>
          <w:sz w:val="20"/>
        </w:rPr>
      </w:pPr>
    </w:p>
    <w:p w14:paraId="0231A8DD" w14:textId="77777777" w:rsidR="005257D9" w:rsidRPr="003973F0" w:rsidRDefault="005257D9" w:rsidP="0074665F">
      <w:pPr>
        <w:jc w:val="both"/>
        <w:rPr>
          <w:rFonts w:cs="Arial"/>
          <w:sz w:val="20"/>
        </w:rPr>
      </w:pPr>
    </w:p>
    <w:p w14:paraId="4627CFCC" w14:textId="77777777" w:rsidR="005257D9" w:rsidRPr="003973F0" w:rsidRDefault="005257D9" w:rsidP="0074665F">
      <w:pPr>
        <w:jc w:val="both"/>
        <w:rPr>
          <w:rFonts w:cs="Arial"/>
          <w:sz w:val="20"/>
        </w:rPr>
      </w:pPr>
    </w:p>
    <w:p w14:paraId="005B90B8" w14:textId="77777777" w:rsidR="005257D9" w:rsidRPr="003973F0" w:rsidRDefault="00E01E48" w:rsidP="00E01E48">
      <w:pPr>
        <w:jc w:val="right"/>
        <w:rPr>
          <w:rFonts w:cs="Arial"/>
          <w:sz w:val="20"/>
        </w:rPr>
      </w:pPr>
      <w:r w:rsidRPr="003973F0">
        <w:rPr>
          <w:rFonts w:cs="Arial"/>
          <w:sz w:val="20"/>
        </w:rPr>
        <w:t>Executive Director of Corporate Services</w:t>
      </w:r>
    </w:p>
    <w:p w14:paraId="53CB9186" w14:textId="77777777" w:rsidR="0071184A" w:rsidRPr="003973F0" w:rsidRDefault="0071184A" w:rsidP="00E01E48">
      <w:pPr>
        <w:jc w:val="right"/>
        <w:rPr>
          <w:rFonts w:cs="Arial"/>
          <w:sz w:val="20"/>
        </w:rPr>
      </w:pPr>
      <w:r w:rsidRPr="003973F0">
        <w:rPr>
          <w:rFonts w:cs="Arial"/>
          <w:sz w:val="20"/>
        </w:rPr>
        <w:t>Dundee City Council, Administering Authority</w:t>
      </w:r>
    </w:p>
    <w:p w14:paraId="439AA1BD" w14:textId="10C5BAE2" w:rsidR="005257D9" w:rsidRPr="003973F0" w:rsidRDefault="003B0FEE" w:rsidP="00E01E48">
      <w:pPr>
        <w:jc w:val="right"/>
        <w:rPr>
          <w:rFonts w:cs="Arial"/>
          <w:sz w:val="20"/>
        </w:rPr>
      </w:pPr>
      <w:r>
        <w:rPr>
          <w:rFonts w:cs="Arial"/>
          <w:sz w:val="20"/>
        </w:rPr>
        <w:t>August</w:t>
      </w:r>
      <w:r w:rsidR="00E01E48" w:rsidRPr="003973F0">
        <w:rPr>
          <w:rFonts w:cs="Arial"/>
          <w:sz w:val="20"/>
        </w:rPr>
        <w:t xml:space="preserve"> 20</w:t>
      </w:r>
      <w:r w:rsidR="00B238A2">
        <w:rPr>
          <w:rFonts w:cs="Arial"/>
          <w:sz w:val="20"/>
        </w:rPr>
        <w:t>2</w:t>
      </w:r>
      <w:r w:rsidR="00191E6C">
        <w:rPr>
          <w:rFonts w:cs="Arial"/>
          <w:sz w:val="20"/>
        </w:rPr>
        <w:t>5</w:t>
      </w:r>
    </w:p>
    <w:p w14:paraId="1E3BB2A5" w14:textId="77777777" w:rsidR="005257D9" w:rsidRPr="003973F0" w:rsidRDefault="005257D9" w:rsidP="0074665F">
      <w:pPr>
        <w:jc w:val="both"/>
        <w:rPr>
          <w:rFonts w:cs="Arial"/>
          <w:sz w:val="20"/>
        </w:rPr>
      </w:pPr>
    </w:p>
    <w:p w14:paraId="73411564" w14:textId="77777777" w:rsidR="005257D9" w:rsidRPr="003973F0" w:rsidRDefault="005257D9" w:rsidP="0074665F">
      <w:pPr>
        <w:jc w:val="both"/>
        <w:rPr>
          <w:rFonts w:cs="Arial"/>
          <w:sz w:val="20"/>
        </w:rPr>
      </w:pPr>
    </w:p>
    <w:p w14:paraId="22DE9909" w14:textId="77777777" w:rsidR="005257D9" w:rsidRPr="003973F0" w:rsidRDefault="005257D9" w:rsidP="0074665F">
      <w:pPr>
        <w:jc w:val="both"/>
        <w:rPr>
          <w:rFonts w:cs="Arial"/>
          <w:sz w:val="20"/>
        </w:rPr>
      </w:pPr>
    </w:p>
    <w:p w14:paraId="50A1C3E9" w14:textId="77777777" w:rsidR="005257D9" w:rsidRPr="003973F0" w:rsidRDefault="005257D9" w:rsidP="0074665F">
      <w:pPr>
        <w:jc w:val="both"/>
        <w:rPr>
          <w:rFonts w:cs="Arial"/>
          <w:sz w:val="20"/>
        </w:rPr>
      </w:pPr>
    </w:p>
    <w:p w14:paraId="68E5B315" w14:textId="77777777" w:rsidR="005257D9" w:rsidRPr="003973F0" w:rsidRDefault="005257D9" w:rsidP="0074665F">
      <w:pPr>
        <w:jc w:val="both"/>
        <w:rPr>
          <w:rFonts w:cs="Arial"/>
          <w:sz w:val="20"/>
        </w:rPr>
      </w:pPr>
    </w:p>
    <w:p w14:paraId="4F142CFB" w14:textId="77777777" w:rsidR="005257D9" w:rsidRPr="003973F0" w:rsidRDefault="00BE108A" w:rsidP="000871DD">
      <w:pPr>
        <w:tabs>
          <w:tab w:val="left" w:pos="1940"/>
          <w:tab w:val="left" w:pos="2731"/>
        </w:tabs>
        <w:jc w:val="both"/>
        <w:rPr>
          <w:rFonts w:cs="Arial"/>
          <w:sz w:val="20"/>
        </w:rPr>
      </w:pPr>
      <w:r>
        <w:rPr>
          <w:rFonts w:cs="Arial"/>
          <w:sz w:val="20"/>
        </w:rPr>
        <w:tab/>
      </w:r>
      <w:r w:rsidR="000871DD">
        <w:rPr>
          <w:rFonts w:cs="Arial"/>
          <w:sz w:val="20"/>
        </w:rPr>
        <w:tab/>
      </w:r>
    </w:p>
    <w:p w14:paraId="540E78CB" w14:textId="77777777" w:rsidR="005257D9" w:rsidRPr="003973F0" w:rsidRDefault="005257D9" w:rsidP="0074665F">
      <w:pPr>
        <w:jc w:val="both"/>
        <w:rPr>
          <w:rFonts w:cs="Arial"/>
          <w:sz w:val="20"/>
        </w:rPr>
      </w:pPr>
    </w:p>
    <w:p w14:paraId="4A3CD4E5" w14:textId="77777777" w:rsidR="005257D9" w:rsidRPr="003973F0" w:rsidRDefault="005257D9" w:rsidP="0074665F">
      <w:pPr>
        <w:jc w:val="both"/>
        <w:rPr>
          <w:rFonts w:cs="Arial"/>
          <w:sz w:val="20"/>
        </w:rPr>
      </w:pPr>
    </w:p>
    <w:p w14:paraId="1AC0242B" w14:textId="77777777" w:rsidR="000F4EAC" w:rsidRPr="003973F0" w:rsidRDefault="000F4EAC" w:rsidP="000F4EAC">
      <w:pPr>
        <w:ind w:left="720"/>
        <w:jc w:val="both"/>
        <w:rPr>
          <w:rFonts w:cs="Arial"/>
          <w:b/>
          <w:bCs/>
          <w:sz w:val="20"/>
        </w:rPr>
      </w:pPr>
    </w:p>
    <w:p w14:paraId="58384A54" w14:textId="77777777" w:rsidR="000F4EAC" w:rsidRPr="003973F0" w:rsidRDefault="000F4EAC" w:rsidP="000F4EAC">
      <w:pPr>
        <w:ind w:left="720"/>
        <w:jc w:val="both"/>
        <w:rPr>
          <w:rFonts w:cs="Arial"/>
          <w:b/>
          <w:bCs/>
          <w:sz w:val="20"/>
        </w:rPr>
      </w:pPr>
    </w:p>
    <w:p w14:paraId="02886803" w14:textId="77777777" w:rsidR="005257D9" w:rsidRPr="003973F0" w:rsidRDefault="005257D9" w:rsidP="00D35DC0">
      <w:pPr>
        <w:ind w:left="360"/>
        <w:jc w:val="both"/>
        <w:rPr>
          <w:rFonts w:cs="Arial"/>
          <w:b/>
          <w:bCs/>
          <w:sz w:val="20"/>
        </w:rPr>
      </w:pPr>
      <w:r w:rsidRPr="003973F0">
        <w:rPr>
          <w:rFonts w:cs="Arial"/>
          <w:b/>
          <w:bCs/>
          <w:sz w:val="20"/>
        </w:rPr>
        <w:t>INDEX</w:t>
      </w:r>
    </w:p>
    <w:p w14:paraId="460AF95B" w14:textId="77777777" w:rsidR="005257D9" w:rsidRPr="003973F0" w:rsidRDefault="005257D9" w:rsidP="00D35DC0">
      <w:pPr>
        <w:jc w:val="both"/>
        <w:rPr>
          <w:rFonts w:cs="Arial"/>
          <w:b/>
          <w:bCs/>
          <w:sz w:val="20"/>
          <w:u w:val="single"/>
        </w:rPr>
      </w:pPr>
    </w:p>
    <w:p w14:paraId="2E0CEFBA" w14:textId="77777777" w:rsidR="005257D9" w:rsidRPr="003973F0" w:rsidRDefault="005257D9" w:rsidP="00D35DC0">
      <w:pPr>
        <w:jc w:val="both"/>
        <w:rPr>
          <w:rFonts w:cs="Arial"/>
          <w:b/>
          <w:bCs/>
          <w:sz w:val="20"/>
          <w:u w:val="single"/>
        </w:rPr>
      </w:pPr>
    </w:p>
    <w:p w14:paraId="415590FB" w14:textId="3EB7579D" w:rsidR="004D55EA" w:rsidRPr="005A028A" w:rsidRDefault="004D55EA" w:rsidP="005A028A">
      <w:pPr>
        <w:pStyle w:val="ListParagraph"/>
        <w:numPr>
          <w:ilvl w:val="0"/>
          <w:numId w:val="34"/>
        </w:numPr>
        <w:rPr>
          <w:rFonts w:cs="Arial"/>
          <w:sz w:val="20"/>
        </w:rPr>
      </w:pPr>
      <w:r w:rsidRPr="005A028A">
        <w:rPr>
          <w:rFonts w:cs="Arial"/>
          <w:sz w:val="20"/>
        </w:rPr>
        <w:t>Treasury Management Policy Statement</w:t>
      </w:r>
    </w:p>
    <w:p w14:paraId="0AA7C1EE" w14:textId="77777777" w:rsidR="00D35DC0" w:rsidRPr="003973F0" w:rsidRDefault="00D35DC0" w:rsidP="005A028A">
      <w:pPr>
        <w:rPr>
          <w:rFonts w:cs="Arial"/>
          <w:sz w:val="20"/>
        </w:rPr>
      </w:pPr>
    </w:p>
    <w:p w14:paraId="60C78BA5" w14:textId="7656B333" w:rsidR="00D35DC0" w:rsidRPr="005A028A" w:rsidRDefault="00FB5797" w:rsidP="005A028A">
      <w:pPr>
        <w:pStyle w:val="ListParagraph"/>
        <w:numPr>
          <w:ilvl w:val="0"/>
          <w:numId w:val="34"/>
        </w:numPr>
        <w:rPr>
          <w:rFonts w:cs="Arial"/>
          <w:sz w:val="20"/>
        </w:rPr>
      </w:pPr>
      <w:r w:rsidRPr="005A028A">
        <w:rPr>
          <w:rFonts w:cs="Arial"/>
          <w:sz w:val="20"/>
        </w:rPr>
        <w:t>Delegations of Authority and Governance</w:t>
      </w:r>
    </w:p>
    <w:p w14:paraId="62451E05" w14:textId="77777777" w:rsidR="00D35DC0" w:rsidRPr="003973F0" w:rsidRDefault="00D35DC0" w:rsidP="005A028A">
      <w:pPr>
        <w:rPr>
          <w:rFonts w:cs="Arial"/>
          <w:sz w:val="20"/>
        </w:rPr>
      </w:pPr>
    </w:p>
    <w:p w14:paraId="109D80EF" w14:textId="21B44838" w:rsidR="00D35DC0" w:rsidRPr="005A028A" w:rsidRDefault="00D35DC0" w:rsidP="005A028A">
      <w:pPr>
        <w:pStyle w:val="ListParagraph"/>
        <w:numPr>
          <w:ilvl w:val="0"/>
          <w:numId w:val="34"/>
        </w:numPr>
        <w:rPr>
          <w:rFonts w:cs="Arial"/>
          <w:sz w:val="20"/>
        </w:rPr>
      </w:pPr>
      <w:r w:rsidRPr="005A028A">
        <w:rPr>
          <w:rFonts w:cs="Arial"/>
          <w:sz w:val="20"/>
        </w:rPr>
        <w:t xml:space="preserve">Creditworthiness </w:t>
      </w:r>
      <w:r w:rsidR="00003EC6" w:rsidRPr="005A028A">
        <w:rPr>
          <w:rFonts w:cs="Arial"/>
          <w:sz w:val="20"/>
        </w:rPr>
        <w:t>&amp; Permitted Counterparties</w:t>
      </w:r>
    </w:p>
    <w:p w14:paraId="0567FF82" w14:textId="580603B2" w:rsidR="00D35DC0" w:rsidRPr="003973F0" w:rsidRDefault="00D35DC0" w:rsidP="005A028A">
      <w:pPr>
        <w:ind w:left="720"/>
        <w:rPr>
          <w:rFonts w:cs="Arial"/>
          <w:sz w:val="20"/>
        </w:rPr>
      </w:pPr>
    </w:p>
    <w:p w14:paraId="01C1D7ED" w14:textId="5EBCE160" w:rsidR="004D55EA" w:rsidRPr="005A028A" w:rsidRDefault="004D55EA" w:rsidP="005A028A">
      <w:pPr>
        <w:pStyle w:val="ListParagraph"/>
        <w:numPr>
          <w:ilvl w:val="0"/>
          <w:numId w:val="34"/>
        </w:numPr>
        <w:rPr>
          <w:rFonts w:cs="Arial"/>
          <w:sz w:val="20"/>
        </w:rPr>
      </w:pPr>
      <w:r w:rsidRPr="005A028A">
        <w:rPr>
          <w:rFonts w:cs="Arial"/>
          <w:sz w:val="20"/>
        </w:rPr>
        <w:t>Cash &amp; Liquidity Management Policies</w:t>
      </w:r>
    </w:p>
    <w:p w14:paraId="04854D55" w14:textId="77777777" w:rsidR="00D35DC0" w:rsidRPr="003973F0" w:rsidRDefault="00D35DC0" w:rsidP="005A028A">
      <w:pPr>
        <w:rPr>
          <w:rFonts w:cs="Arial"/>
          <w:sz w:val="20"/>
        </w:rPr>
      </w:pPr>
    </w:p>
    <w:p w14:paraId="08F46C22" w14:textId="36E51F09" w:rsidR="004D55EA" w:rsidRPr="005A028A" w:rsidRDefault="004D55EA" w:rsidP="005A028A">
      <w:pPr>
        <w:pStyle w:val="ListParagraph"/>
        <w:numPr>
          <w:ilvl w:val="0"/>
          <w:numId w:val="34"/>
        </w:numPr>
        <w:rPr>
          <w:rFonts w:cs="Arial"/>
          <w:sz w:val="20"/>
        </w:rPr>
      </w:pPr>
      <w:r w:rsidRPr="005A028A">
        <w:rPr>
          <w:rFonts w:cs="Arial"/>
          <w:sz w:val="20"/>
        </w:rPr>
        <w:t xml:space="preserve">Treasury </w:t>
      </w:r>
      <w:r w:rsidR="00751E1E" w:rsidRPr="005A028A">
        <w:rPr>
          <w:rFonts w:cs="Arial"/>
          <w:sz w:val="20"/>
        </w:rPr>
        <w:t>Management Practices</w:t>
      </w:r>
    </w:p>
    <w:p w14:paraId="25B01FCB" w14:textId="77777777" w:rsidR="005A028A" w:rsidRDefault="005A028A" w:rsidP="005A028A">
      <w:pPr>
        <w:rPr>
          <w:rFonts w:cs="Arial"/>
          <w:sz w:val="20"/>
        </w:rPr>
      </w:pPr>
    </w:p>
    <w:p w14:paraId="21E03F40" w14:textId="27C051B6" w:rsidR="005A028A" w:rsidRPr="003973F0" w:rsidRDefault="005A028A" w:rsidP="005A028A">
      <w:pPr>
        <w:pStyle w:val="ListParagraph"/>
        <w:numPr>
          <w:ilvl w:val="0"/>
          <w:numId w:val="34"/>
        </w:numPr>
        <w:rPr>
          <w:rFonts w:cs="Arial"/>
          <w:sz w:val="20"/>
        </w:rPr>
      </w:pPr>
      <w:r>
        <w:rPr>
          <w:rFonts w:cs="Arial"/>
          <w:sz w:val="20"/>
        </w:rPr>
        <w:t>Rebalancing</w:t>
      </w:r>
    </w:p>
    <w:p w14:paraId="23E50BF1" w14:textId="77777777" w:rsidR="004D55EA" w:rsidRPr="003973F0" w:rsidRDefault="004D55EA" w:rsidP="000F4EAC">
      <w:pPr>
        <w:ind w:left="360"/>
        <w:rPr>
          <w:rFonts w:cs="Arial"/>
          <w:sz w:val="20"/>
        </w:rPr>
      </w:pPr>
    </w:p>
    <w:p w14:paraId="53D47165" w14:textId="77777777" w:rsidR="004D55EA" w:rsidRPr="003973F0" w:rsidRDefault="004D55EA" w:rsidP="004D55EA">
      <w:pPr>
        <w:ind w:left="720"/>
        <w:jc w:val="both"/>
        <w:rPr>
          <w:rFonts w:cs="Arial"/>
          <w:sz w:val="20"/>
        </w:rPr>
        <w:sectPr w:rsidR="004D55EA" w:rsidRPr="003973F0" w:rsidSect="007A45BA">
          <w:headerReference w:type="default" r:id="rId13"/>
          <w:footerReference w:type="default" r:id="rId14"/>
          <w:footerReference w:type="first" r:id="rId15"/>
          <w:pgSz w:w="11909" w:h="16834" w:code="9"/>
          <w:pgMar w:top="851" w:right="1440" w:bottom="992" w:left="1440" w:header="709" w:footer="709" w:gutter="0"/>
          <w:paperSrc w:first="15" w:other="15"/>
          <w:cols w:space="720"/>
          <w:titlePg/>
        </w:sectPr>
      </w:pPr>
    </w:p>
    <w:p w14:paraId="180F0DBB" w14:textId="77777777" w:rsidR="00CA70AA" w:rsidRPr="003973F0" w:rsidRDefault="00CA70AA" w:rsidP="008F2EB5">
      <w:pPr>
        <w:numPr>
          <w:ilvl w:val="0"/>
          <w:numId w:val="3"/>
        </w:numPr>
        <w:jc w:val="both"/>
        <w:rPr>
          <w:rFonts w:cs="Arial"/>
          <w:b/>
          <w:bCs/>
          <w:sz w:val="20"/>
        </w:rPr>
      </w:pPr>
      <w:r w:rsidRPr="003973F0">
        <w:rPr>
          <w:rFonts w:cs="Arial"/>
          <w:b/>
          <w:bCs/>
          <w:sz w:val="20"/>
        </w:rPr>
        <w:lastRenderedPageBreak/>
        <w:t>TREASURY MANAGEMENT POLICY STATEMENT</w:t>
      </w:r>
    </w:p>
    <w:p w14:paraId="148E70D7" w14:textId="77777777" w:rsidR="00CA70AA" w:rsidRPr="003973F0" w:rsidRDefault="00CA70AA" w:rsidP="0074665F">
      <w:pPr>
        <w:jc w:val="both"/>
        <w:rPr>
          <w:rFonts w:cs="Arial"/>
          <w:b/>
          <w:bCs/>
          <w:sz w:val="20"/>
        </w:rPr>
      </w:pPr>
    </w:p>
    <w:p w14:paraId="378B9A88" w14:textId="77777777" w:rsidR="00530345" w:rsidRPr="003973F0" w:rsidRDefault="00530345" w:rsidP="00530345">
      <w:pPr>
        <w:jc w:val="both"/>
        <w:rPr>
          <w:rFonts w:cs="Arial"/>
          <w:sz w:val="20"/>
        </w:rPr>
      </w:pPr>
      <w:r w:rsidRPr="003973F0">
        <w:rPr>
          <w:rFonts w:cs="Arial"/>
          <w:sz w:val="20"/>
        </w:rPr>
        <w:t xml:space="preserve">Tayside Pension Fund is administered by Dundee City Council in accordance with Section </w:t>
      </w:r>
      <w:r w:rsidR="00915676">
        <w:rPr>
          <w:rFonts w:cs="Arial"/>
          <w:sz w:val="20"/>
        </w:rPr>
        <w:t>13</w:t>
      </w:r>
      <w:r w:rsidRPr="003973F0">
        <w:rPr>
          <w:rFonts w:cs="Arial"/>
          <w:sz w:val="20"/>
        </w:rPr>
        <w:t xml:space="preserve"> of its Financial Regulations.  Investment policy and decisions (including those relating to Treasury Management) are delegated to the Pension Sub-Committee of the Policy and Resources Committee. The Pension Board assist the Sub-Committee with securing compliance to the regulations. </w:t>
      </w:r>
    </w:p>
    <w:p w14:paraId="01B4369E" w14:textId="77777777" w:rsidR="00530345" w:rsidRPr="003973F0" w:rsidRDefault="00530345" w:rsidP="00530345">
      <w:pPr>
        <w:jc w:val="both"/>
        <w:rPr>
          <w:rFonts w:cs="Arial"/>
          <w:sz w:val="20"/>
        </w:rPr>
      </w:pPr>
    </w:p>
    <w:p w14:paraId="799FEB64" w14:textId="77777777" w:rsidR="00530345" w:rsidRPr="003973F0" w:rsidRDefault="00530345" w:rsidP="00530345">
      <w:pPr>
        <w:jc w:val="both"/>
        <w:rPr>
          <w:rFonts w:cs="Arial"/>
          <w:sz w:val="20"/>
        </w:rPr>
      </w:pPr>
      <w:r w:rsidRPr="003973F0">
        <w:rPr>
          <w:rFonts w:cs="Arial"/>
          <w:sz w:val="20"/>
        </w:rPr>
        <w:t>The primary objective of the Tayside Pension Fund is to provide for scheme members' pension and lump sum benefits on their retirement or for their dependants on death before or after retirement, on a defined benefits basis.  There is limited discretion to vary these benefits.</w:t>
      </w:r>
    </w:p>
    <w:p w14:paraId="07164AAD" w14:textId="77777777" w:rsidR="00530345" w:rsidRPr="003973F0" w:rsidRDefault="00530345" w:rsidP="0074665F">
      <w:pPr>
        <w:jc w:val="both"/>
        <w:rPr>
          <w:rFonts w:cs="Arial"/>
          <w:b/>
          <w:bCs/>
          <w:sz w:val="20"/>
        </w:rPr>
      </w:pPr>
    </w:p>
    <w:p w14:paraId="7D3B9640" w14:textId="77777777" w:rsidR="00CA70AA" w:rsidRPr="003973F0" w:rsidRDefault="00CA70AA" w:rsidP="00F17326">
      <w:pPr>
        <w:rPr>
          <w:rFonts w:cs="Arial"/>
          <w:bCs/>
          <w:sz w:val="20"/>
        </w:rPr>
      </w:pPr>
      <w:r w:rsidRPr="003973F0">
        <w:rPr>
          <w:rFonts w:cs="Arial"/>
          <w:bCs/>
          <w:sz w:val="20"/>
        </w:rPr>
        <w:t xml:space="preserve">Dundee City Council </w:t>
      </w:r>
      <w:r w:rsidR="00530345" w:rsidRPr="003973F0">
        <w:rPr>
          <w:rFonts w:cs="Arial"/>
          <w:bCs/>
          <w:sz w:val="20"/>
        </w:rPr>
        <w:t xml:space="preserve">in its administering role, </w:t>
      </w:r>
      <w:r w:rsidRPr="003973F0">
        <w:rPr>
          <w:rFonts w:cs="Arial"/>
          <w:bCs/>
          <w:sz w:val="20"/>
        </w:rPr>
        <w:t>defines its treasury management activities as:</w:t>
      </w:r>
    </w:p>
    <w:p w14:paraId="7200196C" w14:textId="77777777" w:rsidR="0033252F" w:rsidRPr="003973F0" w:rsidRDefault="0033252F" w:rsidP="00F17326">
      <w:pPr>
        <w:ind w:left="1429"/>
        <w:rPr>
          <w:rFonts w:cs="Arial"/>
          <w:bCs/>
          <w:sz w:val="20"/>
        </w:rPr>
      </w:pPr>
    </w:p>
    <w:p w14:paraId="08DC2DF6" w14:textId="77777777" w:rsidR="00CA70AA" w:rsidRPr="003973F0" w:rsidRDefault="00CA70AA" w:rsidP="00315321">
      <w:pPr>
        <w:jc w:val="both"/>
        <w:rPr>
          <w:rFonts w:cs="Arial"/>
          <w:b/>
          <w:bCs/>
          <w:sz w:val="20"/>
        </w:rPr>
      </w:pPr>
      <w:r w:rsidRPr="003973F0">
        <w:rPr>
          <w:rFonts w:cs="Arial"/>
          <w:b/>
          <w:bCs/>
          <w:sz w:val="20"/>
        </w:rPr>
        <w:t>"The management of the authority's investments and cash flows</w:t>
      </w:r>
      <w:r w:rsidR="003F0C08" w:rsidRPr="003973F0">
        <w:rPr>
          <w:rFonts w:cs="Arial"/>
          <w:b/>
          <w:bCs/>
          <w:sz w:val="20"/>
        </w:rPr>
        <w:t xml:space="preserve">, its banking, </w:t>
      </w:r>
      <w:r w:rsidRPr="003973F0">
        <w:rPr>
          <w:rFonts w:cs="Arial"/>
          <w:b/>
          <w:bCs/>
          <w:sz w:val="20"/>
        </w:rPr>
        <w:t>money market and capital market transactions;</w:t>
      </w:r>
      <w:r w:rsidR="003F0C08" w:rsidRPr="003973F0">
        <w:rPr>
          <w:rFonts w:cs="Arial"/>
          <w:b/>
          <w:bCs/>
          <w:sz w:val="20"/>
        </w:rPr>
        <w:t xml:space="preserve"> the effective control of the </w:t>
      </w:r>
      <w:r w:rsidRPr="003973F0">
        <w:rPr>
          <w:rFonts w:cs="Arial"/>
          <w:b/>
          <w:bCs/>
          <w:sz w:val="20"/>
        </w:rPr>
        <w:t>risks associated with those activities; and the p</w:t>
      </w:r>
      <w:r w:rsidR="003F0C08" w:rsidRPr="003973F0">
        <w:rPr>
          <w:rFonts w:cs="Arial"/>
          <w:b/>
          <w:bCs/>
          <w:sz w:val="20"/>
        </w:rPr>
        <w:t xml:space="preserve">ursuit of optimum performance </w:t>
      </w:r>
      <w:r w:rsidRPr="003973F0">
        <w:rPr>
          <w:rFonts w:cs="Arial"/>
          <w:b/>
          <w:bCs/>
          <w:sz w:val="20"/>
        </w:rPr>
        <w:t>consistent with those risks.</w:t>
      </w:r>
      <w:r w:rsidR="00F17326" w:rsidRPr="003973F0">
        <w:rPr>
          <w:rFonts w:cs="Arial"/>
          <w:b/>
          <w:bCs/>
          <w:sz w:val="20"/>
        </w:rPr>
        <w:t>”</w:t>
      </w:r>
    </w:p>
    <w:p w14:paraId="01DBF53C" w14:textId="77777777" w:rsidR="00D31540" w:rsidRPr="003973F0" w:rsidRDefault="00D31540" w:rsidP="00315321">
      <w:pPr>
        <w:jc w:val="both"/>
        <w:rPr>
          <w:rFonts w:cs="Arial"/>
          <w:b/>
          <w:bCs/>
          <w:sz w:val="20"/>
        </w:rPr>
      </w:pPr>
    </w:p>
    <w:p w14:paraId="6E5BC17B" w14:textId="77777777" w:rsidR="00D31540" w:rsidRPr="003973F0" w:rsidRDefault="00D31540" w:rsidP="00D31540">
      <w:pPr>
        <w:jc w:val="both"/>
        <w:rPr>
          <w:rFonts w:cs="Arial"/>
          <w:bCs/>
          <w:sz w:val="20"/>
        </w:rPr>
      </w:pPr>
      <w:r w:rsidRPr="003973F0">
        <w:rPr>
          <w:rFonts w:cs="Arial"/>
          <w:bCs/>
          <w:sz w:val="20"/>
        </w:rPr>
        <w:t>It regards the successful identification, monitoring and control of risk to be the prime criteria by which the effectiveness of its treasury management activities will be measured.  Accordingly, the analysis and reporting of treasury management activities will focus on their risk implications for the organisation and any financial instruments entered into to manage these risks.</w:t>
      </w:r>
    </w:p>
    <w:p w14:paraId="511A7EDA" w14:textId="77777777" w:rsidR="00D31540" w:rsidRPr="003973F0" w:rsidRDefault="00D31540" w:rsidP="00D31540">
      <w:pPr>
        <w:jc w:val="both"/>
        <w:rPr>
          <w:rFonts w:cs="Arial"/>
          <w:bCs/>
          <w:sz w:val="20"/>
        </w:rPr>
      </w:pPr>
    </w:p>
    <w:p w14:paraId="008142A6" w14:textId="77777777" w:rsidR="00D31540" w:rsidRPr="003973F0" w:rsidRDefault="00D31540" w:rsidP="00D31540">
      <w:pPr>
        <w:jc w:val="both"/>
        <w:rPr>
          <w:rFonts w:cs="Arial"/>
          <w:bCs/>
          <w:sz w:val="20"/>
        </w:rPr>
      </w:pPr>
      <w:r w:rsidRPr="003973F0">
        <w:rPr>
          <w:rFonts w:cs="Arial"/>
          <w:bCs/>
          <w:sz w:val="20"/>
        </w:rPr>
        <w:t xml:space="preserve">It acknowledges that effective treasury management will provide support towards the achievement of its business and services objectives.  It is therefore committed to the principles of achieving value for money in treasury management and to employing suitable performance </w:t>
      </w:r>
      <w:r w:rsidRPr="003973F0">
        <w:rPr>
          <w:rFonts w:cs="Arial"/>
          <w:bCs/>
          <w:sz w:val="20"/>
        </w:rPr>
        <w:tab/>
        <w:t>measurement techniques, within the context of effective risk management.</w:t>
      </w:r>
    </w:p>
    <w:p w14:paraId="79E6786C" w14:textId="77777777" w:rsidR="00D31540" w:rsidRPr="003973F0" w:rsidRDefault="00D31540" w:rsidP="00D31540">
      <w:pPr>
        <w:jc w:val="both"/>
        <w:rPr>
          <w:rFonts w:cs="Arial"/>
          <w:bCs/>
          <w:sz w:val="20"/>
        </w:rPr>
      </w:pPr>
    </w:p>
    <w:p w14:paraId="19A6C831" w14:textId="77777777" w:rsidR="00C43367" w:rsidRPr="003973F0" w:rsidRDefault="00D31540" w:rsidP="00D31540">
      <w:pPr>
        <w:jc w:val="both"/>
        <w:rPr>
          <w:rFonts w:cs="Arial"/>
          <w:bCs/>
          <w:sz w:val="20"/>
        </w:rPr>
      </w:pPr>
      <w:r w:rsidRPr="003973F0">
        <w:rPr>
          <w:rFonts w:cs="Arial"/>
          <w:bCs/>
          <w:sz w:val="20"/>
        </w:rPr>
        <w:t>All treasury management activities must comply with the appropriate regulations, codes and guidance as stated in the Treasury Management Policy Statement of Dundee City Council.</w:t>
      </w:r>
    </w:p>
    <w:p w14:paraId="2E5AAFAE" w14:textId="77777777" w:rsidR="00D31540" w:rsidRPr="003973F0" w:rsidRDefault="00D31540" w:rsidP="00D31540">
      <w:pPr>
        <w:jc w:val="both"/>
        <w:rPr>
          <w:rFonts w:cs="Arial"/>
          <w:bCs/>
          <w:sz w:val="20"/>
        </w:rPr>
      </w:pPr>
    </w:p>
    <w:p w14:paraId="681282AC" w14:textId="77777777" w:rsidR="004B2236" w:rsidRPr="003973F0" w:rsidRDefault="004B2236" w:rsidP="004B2236">
      <w:pPr>
        <w:numPr>
          <w:ilvl w:val="0"/>
          <w:numId w:val="3"/>
        </w:numPr>
        <w:jc w:val="both"/>
        <w:rPr>
          <w:rFonts w:cs="Arial"/>
          <w:b/>
          <w:bCs/>
          <w:sz w:val="20"/>
        </w:rPr>
      </w:pPr>
      <w:r w:rsidRPr="003973F0">
        <w:rPr>
          <w:rFonts w:cs="Arial"/>
          <w:b/>
          <w:bCs/>
          <w:sz w:val="20"/>
        </w:rPr>
        <w:t>DELEGATIONS OF AUTHORITY &amp; GOVERNANCE</w:t>
      </w:r>
    </w:p>
    <w:p w14:paraId="292BDFDF" w14:textId="77777777" w:rsidR="004B2236" w:rsidRPr="003973F0" w:rsidRDefault="004B2236" w:rsidP="004B2236">
      <w:pPr>
        <w:jc w:val="both"/>
        <w:rPr>
          <w:rFonts w:cs="Arial"/>
          <w:b/>
          <w:bCs/>
          <w:sz w:val="20"/>
        </w:rPr>
      </w:pPr>
    </w:p>
    <w:p w14:paraId="13382A42" w14:textId="77777777" w:rsidR="004B2236" w:rsidRPr="003973F0" w:rsidRDefault="00D31540" w:rsidP="004B2236">
      <w:pPr>
        <w:jc w:val="both"/>
        <w:rPr>
          <w:rFonts w:cs="Arial"/>
          <w:bCs/>
          <w:sz w:val="20"/>
        </w:rPr>
      </w:pPr>
      <w:r w:rsidRPr="003973F0">
        <w:rPr>
          <w:rFonts w:cs="Arial"/>
          <w:bCs/>
          <w:sz w:val="20"/>
        </w:rPr>
        <w:t>The scheme of delegation for treasury management of Tayside Pension Fund are in accordance with that for Dundee City Council and referred to in their Treasury Management Policy Statement</w:t>
      </w:r>
    </w:p>
    <w:p w14:paraId="6CB9DAF3" w14:textId="77777777" w:rsidR="00E57254" w:rsidRPr="003973F0" w:rsidRDefault="004B2236" w:rsidP="00D31540">
      <w:pPr>
        <w:tabs>
          <w:tab w:val="left" w:pos="426"/>
        </w:tabs>
        <w:ind w:left="360"/>
        <w:jc w:val="both"/>
        <w:rPr>
          <w:rFonts w:cs="Arial"/>
          <w:sz w:val="20"/>
        </w:rPr>
      </w:pPr>
      <w:r w:rsidRPr="003973F0">
        <w:rPr>
          <w:rFonts w:cs="Arial"/>
          <w:bCs/>
          <w:sz w:val="20"/>
        </w:rPr>
        <w:tab/>
      </w:r>
    </w:p>
    <w:p w14:paraId="3111863A" w14:textId="77777777" w:rsidR="001C38CA" w:rsidRPr="003973F0" w:rsidRDefault="00D31540" w:rsidP="008F2EB5">
      <w:pPr>
        <w:numPr>
          <w:ilvl w:val="0"/>
          <w:numId w:val="3"/>
        </w:numPr>
        <w:jc w:val="both"/>
        <w:rPr>
          <w:rFonts w:cs="Arial"/>
          <w:b/>
          <w:sz w:val="20"/>
        </w:rPr>
      </w:pPr>
      <w:r w:rsidRPr="003973F0">
        <w:rPr>
          <w:rFonts w:cs="Arial"/>
          <w:b/>
          <w:sz w:val="20"/>
        </w:rPr>
        <w:t xml:space="preserve">CREDIT WORTHINESS </w:t>
      </w:r>
      <w:r w:rsidR="00847BF0" w:rsidRPr="003973F0">
        <w:rPr>
          <w:rFonts w:cs="Arial"/>
          <w:b/>
          <w:sz w:val="20"/>
        </w:rPr>
        <w:t>&amp; PE</w:t>
      </w:r>
      <w:r w:rsidR="00004283" w:rsidRPr="003973F0">
        <w:rPr>
          <w:rFonts w:cs="Arial"/>
          <w:b/>
          <w:sz w:val="20"/>
        </w:rPr>
        <w:t>R</w:t>
      </w:r>
      <w:r w:rsidR="00847BF0" w:rsidRPr="003973F0">
        <w:rPr>
          <w:rFonts w:cs="Arial"/>
          <w:b/>
          <w:sz w:val="20"/>
        </w:rPr>
        <w:t>MITTED COUNTERPARTIES</w:t>
      </w:r>
    </w:p>
    <w:p w14:paraId="085732EB" w14:textId="77777777" w:rsidR="00090994" w:rsidRPr="003973F0" w:rsidRDefault="00090994" w:rsidP="00090994">
      <w:pPr>
        <w:jc w:val="both"/>
        <w:rPr>
          <w:rFonts w:cs="Arial"/>
          <w:sz w:val="20"/>
          <w:u w:val="single"/>
        </w:rPr>
      </w:pPr>
    </w:p>
    <w:p w14:paraId="14491EAA" w14:textId="77777777" w:rsidR="00847BF0" w:rsidRPr="003973F0" w:rsidRDefault="00D31540" w:rsidP="00B238A2">
      <w:pPr>
        <w:tabs>
          <w:tab w:val="left" w:pos="426"/>
          <w:tab w:val="left" w:pos="8222"/>
        </w:tabs>
        <w:jc w:val="both"/>
        <w:rPr>
          <w:rFonts w:cs="Arial"/>
          <w:sz w:val="20"/>
        </w:rPr>
      </w:pPr>
      <w:r w:rsidRPr="003973F0">
        <w:rPr>
          <w:rFonts w:cs="Arial"/>
          <w:sz w:val="20"/>
        </w:rPr>
        <w:t>In undertaking treasury management for the Fund, t</w:t>
      </w:r>
      <w:r w:rsidR="006514E9" w:rsidRPr="003973F0">
        <w:rPr>
          <w:rFonts w:cs="Arial"/>
          <w:sz w:val="20"/>
        </w:rPr>
        <w:t xml:space="preserve">he </w:t>
      </w:r>
      <w:r w:rsidRPr="003973F0">
        <w:rPr>
          <w:rFonts w:cs="Arial"/>
          <w:sz w:val="20"/>
        </w:rPr>
        <w:t>C</w:t>
      </w:r>
      <w:r w:rsidR="006514E9" w:rsidRPr="003973F0">
        <w:rPr>
          <w:rFonts w:cs="Arial"/>
          <w:sz w:val="20"/>
        </w:rPr>
        <w:t>ouncil’s investment priorities</w:t>
      </w:r>
      <w:r w:rsidRPr="003973F0">
        <w:rPr>
          <w:rFonts w:cs="Arial"/>
          <w:sz w:val="20"/>
        </w:rPr>
        <w:t xml:space="preserve"> (as stated in their policy)</w:t>
      </w:r>
      <w:r w:rsidR="006514E9" w:rsidRPr="003973F0">
        <w:rPr>
          <w:rFonts w:cs="Arial"/>
          <w:sz w:val="20"/>
        </w:rPr>
        <w:t xml:space="preserve"> will be securi</w:t>
      </w:r>
      <w:r w:rsidR="007454BF" w:rsidRPr="003973F0">
        <w:rPr>
          <w:rFonts w:cs="Arial"/>
          <w:sz w:val="20"/>
        </w:rPr>
        <w:t xml:space="preserve">ty first, liquidity second and </w:t>
      </w:r>
      <w:r w:rsidR="006514E9" w:rsidRPr="003973F0">
        <w:rPr>
          <w:rFonts w:cs="Arial"/>
          <w:sz w:val="20"/>
        </w:rPr>
        <w:t>then return.</w:t>
      </w:r>
      <w:r w:rsidR="00847BF0" w:rsidRPr="003973F0">
        <w:rPr>
          <w:rFonts w:cs="Arial"/>
          <w:sz w:val="20"/>
        </w:rPr>
        <w:t xml:space="preserve">  The Council manage Credit Worthiness of counterparties in line with their own policy and the following are permitted Counterparties for investment transactions:</w:t>
      </w:r>
    </w:p>
    <w:p w14:paraId="542A2990" w14:textId="77777777" w:rsidR="006514E9" w:rsidRPr="003973F0" w:rsidRDefault="00847BF0" w:rsidP="006514E9">
      <w:pPr>
        <w:tabs>
          <w:tab w:val="left" w:pos="426"/>
          <w:tab w:val="left" w:pos="8222"/>
        </w:tabs>
        <w:rPr>
          <w:rFonts w:cs="Arial"/>
          <w:sz w:val="20"/>
        </w:rPr>
      </w:pPr>
      <w:r w:rsidRPr="003973F0">
        <w:rPr>
          <w:rFonts w:cs="Arial"/>
          <w:sz w:val="20"/>
        </w:rPr>
        <w:t xml:space="preserve">  </w:t>
      </w:r>
    </w:p>
    <w:p w14:paraId="70894FED" w14:textId="77777777" w:rsidR="00C26A67" w:rsidRPr="003973F0" w:rsidRDefault="00847BF0" w:rsidP="0022636E">
      <w:pPr>
        <w:keepNext/>
        <w:widowControl w:val="0"/>
        <w:jc w:val="both"/>
        <w:rPr>
          <w:rFonts w:cs="Arial"/>
          <w:sz w:val="20"/>
        </w:rPr>
      </w:pPr>
      <w:r w:rsidRPr="003973F0">
        <w:rPr>
          <w:rFonts w:cs="Arial"/>
          <w:sz w:val="20"/>
        </w:rPr>
        <w:t>The Council will only use UK regulated institutions, with t</w:t>
      </w:r>
      <w:r w:rsidR="00C26A67" w:rsidRPr="003973F0">
        <w:rPr>
          <w:rFonts w:cs="Arial"/>
          <w:sz w:val="20"/>
        </w:rPr>
        <w:t>he maximum deposit will be in line with counterparty credit rating as follows</w:t>
      </w:r>
      <w:r w:rsidR="00B268BB" w:rsidRPr="003973F0">
        <w:rPr>
          <w:rFonts w:cs="Arial"/>
          <w:sz w:val="20"/>
        </w:rPr>
        <w:t>:</w:t>
      </w:r>
    </w:p>
    <w:p w14:paraId="5ECC3666" w14:textId="77777777" w:rsidR="00847BF0" w:rsidRPr="003973F0" w:rsidRDefault="00847BF0" w:rsidP="00847BF0">
      <w:pPr>
        <w:keepNext/>
        <w:widowControl w:val="0"/>
        <w:rPr>
          <w:rFonts w:cs="Arial"/>
          <w:sz w:val="20"/>
        </w:rPr>
      </w:pPr>
    </w:p>
    <w:p w14:paraId="5B4FD845" w14:textId="77777777" w:rsidR="00847BF0" w:rsidRPr="003973F0" w:rsidRDefault="00847BF0" w:rsidP="00847BF0">
      <w:pPr>
        <w:keepNext/>
        <w:widowControl w:val="0"/>
        <w:rPr>
          <w:rFonts w:cs="Arial"/>
          <w:sz w:val="20"/>
        </w:rPr>
      </w:pPr>
      <w:r w:rsidRPr="003973F0">
        <w:rPr>
          <w:rFonts w:cs="Arial"/>
          <w:sz w:val="20"/>
        </w:rPr>
        <w:tab/>
      </w:r>
      <w:r w:rsidRPr="003973F0">
        <w:rPr>
          <w:rFonts w:cs="Arial"/>
          <w:sz w:val="20"/>
          <w:u w:val="single"/>
        </w:rPr>
        <w:t>Short Term Credit Rating**</w:t>
      </w:r>
    </w:p>
    <w:p w14:paraId="2128BA84" w14:textId="77777777" w:rsidR="00C26A67" w:rsidRPr="003973F0" w:rsidRDefault="00C26A67" w:rsidP="00C42EE1">
      <w:pPr>
        <w:numPr>
          <w:ilvl w:val="0"/>
          <w:numId w:val="24"/>
        </w:numPr>
        <w:spacing w:before="45" w:after="45"/>
        <w:rPr>
          <w:rFonts w:cs="Arial"/>
          <w:noProof/>
          <w:sz w:val="20"/>
        </w:rPr>
      </w:pPr>
      <w:r w:rsidRPr="003973F0">
        <w:rPr>
          <w:rFonts w:cs="Arial"/>
          <w:noProof/>
          <w:sz w:val="20"/>
        </w:rPr>
        <w:t xml:space="preserve">F1+ </w:t>
      </w:r>
      <w:r w:rsidR="00B268BB" w:rsidRPr="003973F0">
        <w:rPr>
          <w:rFonts w:cs="Arial"/>
          <w:noProof/>
          <w:sz w:val="20"/>
        </w:rPr>
        <w:tab/>
      </w:r>
      <w:r w:rsidR="00B268BB" w:rsidRPr="003973F0">
        <w:rPr>
          <w:rFonts w:cs="Arial"/>
          <w:noProof/>
          <w:sz w:val="20"/>
        </w:rPr>
        <w:tab/>
      </w:r>
      <w:r w:rsidR="00B268BB" w:rsidRPr="003973F0">
        <w:rPr>
          <w:rFonts w:cs="Arial"/>
          <w:noProof/>
          <w:sz w:val="20"/>
        </w:rPr>
        <w:tab/>
      </w:r>
      <w:r w:rsidR="00B268BB" w:rsidRPr="003973F0">
        <w:rPr>
          <w:rFonts w:cs="Arial"/>
          <w:noProof/>
          <w:sz w:val="20"/>
        </w:rPr>
        <w:tab/>
      </w:r>
      <w:r w:rsidRPr="003973F0">
        <w:rPr>
          <w:rFonts w:cs="Arial"/>
          <w:noProof/>
          <w:sz w:val="20"/>
        </w:rPr>
        <w:t>£</w:t>
      </w:r>
      <w:r w:rsidR="0022636E">
        <w:rPr>
          <w:rFonts w:cs="Arial"/>
          <w:noProof/>
          <w:sz w:val="20"/>
        </w:rPr>
        <w:t>10</w:t>
      </w:r>
      <w:r w:rsidRPr="003973F0">
        <w:rPr>
          <w:rFonts w:cs="Arial"/>
          <w:noProof/>
          <w:sz w:val="20"/>
        </w:rPr>
        <w:t xml:space="preserve">m </w:t>
      </w:r>
    </w:p>
    <w:p w14:paraId="32881F90" w14:textId="77777777" w:rsidR="00324B83" w:rsidRPr="003973F0" w:rsidRDefault="00C26A67" w:rsidP="00C42EE1">
      <w:pPr>
        <w:numPr>
          <w:ilvl w:val="0"/>
          <w:numId w:val="24"/>
        </w:numPr>
        <w:spacing w:before="45" w:after="45"/>
        <w:rPr>
          <w:rFonts w:cs="Arial"/>
          <w:noProof/>
          <w:sz w:val="20"/>
        </w:rPr>
      </w:pPr>
      <w:r w:rsidRPr="003973F0">
        <w:rPr>
          <w:rFonts w:cs="Arial"/>
          <w:noProof/>
          <w:sz w:val="20"/>
        </w:rPr>
        <w:t xml:space="preserve">F1 </w:t>
      </w:r>
      <w:r w:rsidR="00B268BB" w:rsidRPr="003973F0">
        <w:rPr>
          <w:rFonts w:cs="Arial"/>
          <w:noProof/>
          <w:sz w:val="20"/>
        </w:rPr>
        <w:tab/>
      </w:r>
      <w:r w:rsidR="00B268BB" w:rsidRPr="003973F0">
        <w:rPr>
          <w:rFonts w:cs="Arial"/>
          <w:noProof/>
          <w:sz w:val="20"/>
        </w:rPr>
        <w:tab/>
      </w:r>
      <w:r w:rsidR="00B268BB" w:rsidRPr="003973F0">
        <w:rPr>
          <w:rFonts w:cs="Arial"/>
          <w:noProof/>
          <w:sz w:val="20"/>
        </w:rPr>
        <w:tab/>
      </w:r>
      <w:r w:rsidR="00B268BB" w:rsidRPr="003973F0">
        <w:rPr>
          <w:rFonts w:cs="Arial"/>
          <w:noProof/>
          <w:sz w:val="20"/>
        </w:rPr>
        <w:tab/>
      </w:r>
      <w:r w:rsidR="00C42EE1" w:rsidRPr="003973F0">
        <w:rPr>
          <w:rFonts w:cs="Arial"/>
          <w:noProof/>
          <w:sz w:val="20"/>
        </w:rPr>
        <w:tab/>
        <w:t>£</w:t>
      </w:r>
      <w:r w:rsidR="00847BF0" w:rsidRPr="003973F0">
        <w:rPr>
          <w:rFonts w:cs="Arial"/>
          <w:noProof/>
          <w:sz w:val="20"/>
        </w:rPr>
        <w:t>5</w:t>
      </w:r>
      <w:r w:rsidR="00C42EE1" w:rsidRPr="003973F0">
        <w:rPr>
          <w:rFonts w:cs="Arial"/>
          <w:noProof/>
          <w:sz w:val="20"/>
        </w:rPr>
        <w:t>m</w:t>
      </w:r>
    </w:p>
    <w:p w14:paraId="2B2FA756" w14:textId="77777777" w:rsidR="00C26A67" w:rsidRPr="003973F0" w:rsidRDefault="00324B83" w:rsidP="00C42EE1">
      <w:pPr>
        <w:numPr>
          <w:ilvl w:val="0"/>
          <w:numId w:val="24"/>
        </w:numPr>
        <w:spacing w:before="45" w:after="45"/>
        <w:rPr>
          <w:rFonts w:cs="Arial"/>
          <w:noProof/>
          <w:sz w:val="20"/>
        </w:rPr>
      </w:pPr>
      <w:r w:rsidRPr="003973F0">
        <w:rPr>
          <w:rFonts w:cs="Arial"/>
          <w:noProof/>
          <w:sz w:val="20"/>
        </w:rPr>
        <w:t xml:space="preserve">AAAmf </w:t>
      </w:r>
      <w:r w:rsidR="00D15A30" w:rsidRPr="003973F0">
        <w:rPr>
          <w:rFonts w:cs="Arial"/>
          <w:noProof/>
          <w:sz w:val="20"/>
        </w:rPr>
        <w:t xml:space="preserve">- </w:t>
      </w:r>
      <w:r w:rsidRPr="003973F0">
        <w:rPr>
          <w:rFonts w:cs="Arial"/>
          <w:noProof/>
          <w:sz w:val="20"/>
        </w:rPr>
        <w:t>Money Market Funds</w:t>
      </w:r>
      <w:r w:rsidRPr="003973F0">
        <w:rPr>
          <w:rFonts w:cs="Arial"/>
          <w:noProof/>
          <w:sz w:val="20"/>
        </w:rPr>
        <w:tab/>
      </w:r>
      <w:r w:rsidR="00D60E4A">
        <w:rPr>
          <w:rFonts w:cs="Arial"/>
          <w:noProof/>
          <w:sz w:val="20"/>
        </w:rPr>
        <w:t>£</w:t>
      </w:r>
      <w:r w:rsidR="0022636E">
        <w:rPr>
          <w:rFonts w:cs="Arial"/>
          <w:noProof/>
          <w:sz w:val="20"/>
        </w:rPr>
        <w:t>10</w:t>
      </w:r>
      <w:r w:rsidR="00D60E4A">
        <w:rPr>
          <w:rFonts w:cs="Arial"/>
          <w:noProof/>
          <w:sz w:val="20"/>
        </w:rPr>
        <w:t>m</w:t>
      </w:r>
      <w:r w:rsidR="00C26A67" w:rsidRPr="003973F0">
        <w:rPr>
          <w:rFonts w:cs="Arial"/>
          <w:noProof/>
          <w:sz w:val="20"/>
        </w:rPr>
        <w:t xml:space="preserve"> </w:t>
      </w:r>
    </w:p>
    <w:p w14:paraId="5E3367C8" w14:textId="77777777" w:rsidR="00175398" w:rsidRPr="003973F0" w:rsidRDefault="00B268BB" w:rsidP="00175398">
      <w:pPr>
        <w:numPr>
          <w:ilvl w:val="0"/>
          <w:numId w:val="24"/>
        </w:numPr>
        <w:jc w:val="both"/>
        <w:rPr>
          <w:rFonts w:cs="Arial"/>
          <w:sz w:val="20"/>
        </w:rPr>
      </w:pPr>
      <w:r w:rsidRPr="003973F0">
        <w:rPr>
          <w:rFonts w:cs="Arial"/>
          <w:noProof/>
          <w:sz w:val="20"/>
        </w:rPr>
        <w:t>Part-Nationalised UK Banks</w:t>
      </w:r>
      <w:r w:rsidR="0072090D" w:rsidRPr="003973F0">
        <w:rPr>
          <w:rFonts w:cs="Arial"/>
          <w:noProof/>
          <w:sz w:val="20"/>
        </w:rPr>
        <w:t xml:space="preserve"> </w:t>
      </w:r>
      <w:r w:rsidR="00175398" w:rsidRPr="003973F0">
        <w:rPr>
          <w:rFonts w:cs="Arial"/>
          <w:noProof/>
          <w:sz w:val="20"/>
        </w:rPr>
        <w:tab/>
        <w:t>£5m</w:t>
      </w:r>
    </w:p>
    <w:p w14:paraId="75213FD1" w14:textId="77777777" w:rsidR="00C26A67" w:rsidRPr="003973F0" w:rsidRDefault="00E77BB4" w:rsidP="00E77BB4">
      <w:pPr>
        <w:ind w:left="1080"/>
        <w:jc w:val="both"/>
        <w:rPr>
          <w:rFonts w:cs="Arial"/>
          <w:sz w:val="20"/>
        </w:rPr>
      </w:pPr>
      <w:r w:rsidRPr="003973F0">
        <w:rPr>
          <w:rFonts w:cs="Arial"/>
          <w:noProof/>
          <w:sz w:val="20"/>
        </w:rPr>
        <w:t>(</w:t>
      </w:r>
      <w:r w:rsidR="0072090D" w:rsidRPr="003973F0">
        <w:rPr>
          <w:rFonts w:cs="Arial"/>
          <w:noProof/>
          <w:sz w:val="20"/>
        </w:rPr>
        <w:t>with a</w:t>
      </w:r>
      <w:r w:rsidR="00F940DC" w:rsidRPr="003973F0">
        <w:rPr>
          <w:rFonts w:cs="Arial"/>
          <w:noProof/>
          <w:sz w:val="20"/>
        </w:rPr>
        <w:t xml:space="preserve"> minimum holding of 20% as per L</w:t>
      </w:r>
      <w:r w:rsidR="0072090D" w:rsidRPr="003973F0">
        <w:rPr>
          <w:rFonts w:cs="Arial"/>
          <w:noProof/>
          <w:sz w:val="20"/>
        </w:rPr>
        <w:t>AS approach</w:t>
      </w:r>
      <w:r w:rsidR="00324B83" w:rsidRPr="003973F0">
        <w:rPr>
          <w:rFonts w:cs="Arial"/>
          <w:sz w:val="20"/>
        </w:rPr>
        <w:t>)</w:t>
      </w:r>
    </w:p>
    <w:p w14:paraId="179A1ECD" w14:textId="77777777" w:rsidR="00331AF4" w:rsidRPr="003973F0" w:rsidRDefault="00331AF4" w:rsidP="00C26A67">
      <w:pPr>
        <w:jc w:val="both"/>
        <w:rPr>
          <w:rFonts w:cs="Arial"/>
          <w:sz w:val="20"/>
        </w:rPr>
      </w:pPr>
    </w:p>
    <w:p w14:paraId="0E9C6B47" w14:textId="77777777" w:rsidR="00847BF0" w:rsidRPr="003973F0" w:rsidRDefault="00847BF0" w:rsidP="00847BF0">
      <w:pPr>
        <w:jc w:val="both"/>
        <w:rPr>
          <w:rFonts w:cs="Arial"/>
          <w:caps/>
          <w:sz w:val="20"/>
        </w:rPr>
      </w:pPr>
      <w:r w:rsidRPr="003973F0">
        <w:rPr>
          <w:rFonts w:cs="Arial"/>
          <w:sz w:val="20"/>
        </w:rPr>
        <w:t>Any institution whose credit rating falls below the limits F2 will no longer be a permitted counterparty for further transactions (subject to advice from Treasury Advisor).</w:t>
      </w:r>
    </w:p>
    <w:p w14:paraId="21CC3D3D" w14:textId="77777777" w:rsidR="00847BF0" w:rsidRPr="003973F0" w:rsidRDefault="00847BF0" w:rsidP="00847BF0">
      <w:pPr>
        <w:jc w:val="both"/>
        <w:rPr>
          <w:rFonts w:cs="Arial"/>
          <w:caps/>
          <w:sz w:val="20"/>
        </w:rPr>
      </w:pPr>
    </w:p>
    <w:p w14:paraId="33561AB6" w14:textId="77777777" w:rsidR="00847BF0" w:rsidRPr="003973F0" w:rsidRDefault="00847BF0" w:rsidP="00847BF0">
      <w:pPr>
        <w:jc w:val="both"/>
        <w:rPr>
          <w:rFonts w:cs="Arial"/>
          <w:sz w:val="20"/>
          <w:u w:val="single"/>
        </w:rPr>
      </w:pPr>
      <w:r w:rsidRPr="003973F0">
        <w:rPr>
          <w:rFonts w:cs="Arial"/>
          <w:sz w:val="20"/>
        </w:rPr>
        <w:t xml:space="preserve">**  </w:t>
      </w:r>
      <w:r w:rsidRPr="003973F0">
        <w:rPr>
          <w:rFonts w:cs="Arial"/>
          <w:sz w:val="20"/>
          <w:u w:val="single"/>
        </w:rPr>
        <w:t>Fitch Ratings Definition - Short-Term Ratings Assigned to Issuers or Obligations in Corporate, Public and Structured Finance</w:t>
      </w:r>
    </w:p>
    <w:p w14:paraId="094B91E3" w14:textId="77777777" w:rsidR="00847BF0" w:rsidRPr="003973F0" w:rsidRDefault="00847BF0" w:rsidP="00847BF0">
      <w:pPr>
        <w:jc w:val="both"/>
        <w:rPr>
          <w:rFonts w:cs="Arial"/>
          <w:sz w:val="20"/>
        </w:rPr>
      </w:pPr>
    </w:p>
    <w:p w14:paraId="332855CE" w14:textId="77777777" w:rsidR="00847BF0" w:rsidRPr="003973F0" w:rsidRDefault="00847BF0" w:rsidP="00847BF0">
      <w:pPr>
        <w:jc w:val="both"/>
        <w:rPr>
          <w:rFonts w:cs="Arial"/>
          <w:sz w:val="20"/>
        </w:rPr>
      </w:pPr>
      <w:r w:rsidRPr="003973F0">
        <w:rPr>
          <w:rFonts w:cs="Arial"/>
          <w:sz w:val="20"/>
        </w:rPr>
        <w:t xml:space="preserve">A short-term issuer or obligation rating is based in all cases on the short-term vulnerability to default of the rated entity or security stream and relates to the capacity to meet financial obligations in accordance with the documentation governing the relevant obligation. Short-Term Ratings are assigned to obligations whose initial maturity is viewed as “short term” based on market convention. Typically, this </w:t>
      </w:r>
      <w:r w:rsidRPr="003973F0">
        <w:rPr>
          <w:rFonts w:cs="Arial"/>
          <w:sz w:val="20"/>
        </w:rPr>
        <w:lastRenderedPageBreak/>
        <w:t>means up to 13 months for corporate, sovereign, and structured obligations, and up to 36 months for obligations in U.S. public finance markets.</w:t>
      </w:r>
    </w:p>
    <w:p w14:paraId="2D709D59" w14:textId="77777777" w:rsidR="00847BF0" w:rsidRPr="003973F0" w:rsidRDefault="00847BF0" w:rsidP="00847BF0">
      <w:pPr>
        <w:jc w:val="both"/>
        <w:rPr>
          <w:rFonts w:cs="Arial"/>
          <w:sz w:val="20"/>
        </w:rPr>
      </w:pPr>
    </w:p>
    <w:p w14:paraId="54512D2E" w14:textId="77777777" w:rsidR="00847BF0" w:rsidRPr="003973F0" w:rsidRDefault="00847BF0" w:rsidP="00847BF0">
      <w:pPr>
        <w:jc w:val="both"/>
        <w:rPr>
          <w:rFonts w:cs="Arial"/>
          <w:sz w:val="20"/>
        </w:rPr>
      </w:pPr>
      <w:r w:rsidRPr="003973F0">
        <w:rPr>
          <w:rFonts w:cs="Arial"/>
          <w:sz w:val="20"/>
        </w:rPr>
        <w:t>F1: Highest short-term credit quality - Indicates the strongest intrinsic capacity for timely payment of financial commitments; may have an added “+” to denote any exceptionally strong credit feature.</w:t>
      </w:r>
    </w:p>
    <w:p w14:paraId="493F3359" w14:textId="77777777" w:rsidR="00B268BB" w:rsidRPr="003973F0" w:rsidRDefault="00053093" w:rsidP="000844AB">
      <w:pPr>
        <w:jc w:val="both"/>
        <w:rPr>
          <w:rFonts w:cs="Arial"/>
          <w:sz w:val="20"/>
        </w:rPr>
      </w:pPr>
      <w:r w:rsidRPr="003973F0">
        <w:rPr>
          <w:rFonts w:cs="Arial"/>
          <w:sz w:val="20"/>
        </w:rPr>
        <w:tab/>
      </w:r>
    </w:p>
    <w:p w14:paraId="18A1BDEB" w14:textId="77777777" w:rsidR="00CA70AA" w:rsidRPr="003973F0" w:rsidRDefault="00A1241C" w:rsidP="008F2EB5">
      <w:pPr>
        <w:numPr>
          <w:ilvl w:val="0"/>
          <w:numId w:val="3"/>
        </w:numPr>
        <w:jc w:val="both"/>
        <w:rPr>
          <w:rFonts w:cs="Arial"/>
          <w:b/>
          <w:bCs/>
          <w:sz w:val="20"/>
        </w:rPr>
      </w:pPr>
      <w:r w:rsidRPr="003973F0">
        <w:rPr>
          <w:rFonts w:cs="Arial"/>
          <w:b/>
          <w:bCs/>
          <w:sz w:val="20"/>
        </w:rPr>
        <w:t>CASH &amp; LIQUIDITY POLIC</w:t>
      </w:r>
      <w:r w:rsidR="00003EC6" w:rsidRPr="003973F0">
        <w:rPr>
          <w:rFonts w:cs="Arial"/>
          <w:b/>
          <w:bCs/>
          <w:sz w:val="20"/>
        </w:rPr>
        <w:t>Y</w:t>
      </w:r>
    </w:p>
    <w:p w14:paraId="0FFF9905" w14:textId="77777777" w:rsidR="00A1241C" w:rsidRPr="003973F0" w:rsidRDefault="00A1241C" w:rsidP="00A1241C">
      <w:pPr>
        <w:jc w:val="both"/>
        <w:rPr>
          <w:rFonts w:cs="Arial"/>
          <w:b/>
          <w:bCs/>
          <w:sz w:val="20"/>
        </w:rPr>
      </w:pPr>
    </w:p>
    <w:p w14:paraId="5B9E1494" w14:textId="77777777" w:rsidR="00AA15DE" w:rsidRPr="003973F0" w:rsidRDefault="00AA15DE" w:rsidP="00AA15DE">
      <w:pPr>
        <w:jc w:val="both"/>
        <w:rPr>
          <w:rFonts w:cs="Arial"/>
          <w:bCs/>
          <w:sz w:val="20"/>
        </w:rPr>
      </w:pPr>
      <w:r w:rsidRPr="003973F0">
        <w:rPr>
          <w:rFonts w:cs="Arial"/>
          <w:bCs/>
          <w:sz w:val="20"/>
        </w:rPr>
        <w:t xml:space="preserve">The </w:t>
      </w:r>
      <w:r w:rsidR="00847BF0" w:rsidRPr="003973F0">
        <w:rPr>
          <w:rFonts w:cs="Arial"/>
          <w:bCs/>
          <w:sz w:val="20"/>
        </w:rPr>
        <w:t>Fund’s</w:t>
      </w:r>
      <w:r w:rsidRPr="003973F0">
        <w:rPr>
          <w:rFonts w:cs="Arial"/>
          <w:bCs/>
          <w:sz w:val="20"/>
        </w:rPr>
        <w:t xml:space="preserve"> policy is to ensure the efficient and effective management of cash resources to maximise investment income while ensuring sufficient cash on hand to meet obligations and avoid funding shortfalls.</w:t>
      </w:r>
      <w:r w:rsidR="005958A2" w:rsidRPr="003973F0">
        <w:rPr>
          <w:rFonts w:cs="Arial"/>
          <w:bCs/>
          <w:sz w:val="20"/>
        </w:rPr>
        <w:t xml:space="preserve">  </w:t>
      </w:r>
    </w:p>
    <w:p w14:paraId="5A8861B5" w14:textId="77777777" w:rsidR="00AA15DE" w:rsidRPr="003973F0" w:rsidRDefault="00AA15DE" w:rsidP="00AA15DE">
      <w:pPr>
        <w:jc w:val="both"/>
        <w:rPr>
          <w:rFonts w:cs="Arial"/>
          <w:bCs/>
          <w:sz w:val="20"/>
        </w:rPr>
      </w:pPr>
    </w:p>
    <w:p w14:paraId="3D1944D4" w14:textId="77777777" w:rsidR="00B004F2" w:rsidRPr="003973F0" w:rsidRDefault="00AA15DE" w:rsidP="00847BF0">
      <w:pPr>
        <w:jc w:val="both"/>
        <w:rPr>
          <w:rFonts w:cs="Arial"/>
          <w:bCs/>
          <w:sz w:val="20"/>
        </w:rPr>
      </w:pPr>
      <w:r w:rsidRPr="003973F0">
        <w:rPr>
          <w:rFonts w:cs="Arial"/>
          <w:bCs/>
          <w:sz w:val="20"/>
        </w:rPr>
        <w:t xml:space="preserve">This policy also contributes towards meeting the </w:t>
      </w:r>
      <w:r w:rsidR="00847BF0" w:rsidRPr="003973F0">
        <w:rPr>
          <w:rFonts w:cs="Arial"/>
          <w:bCs/>
          <w:sz w:val="20"/>
        </w:rPr>
        <w:t>Fund’s</w:t>
      </w:r>
      <w:r w:rsidRPr="003973F0">
        <w:rPr>
          <w:rFonts w:cs="Arial"/>
          <w:bCs/>
          <w:sz w:val="20"/>
        </w:rPr>
        <w:t xml:space="preserve"> obligations </w:t>
      </w:r>
      <w:r w:rsidR="00647500" w:rsidRPr="003973F0">
        <w:rPr>
          <w:rFonts w:cs="Arial"/>
          <w:bCs/>
          <w:sz w:val="20"/>
        </w:rPr>
        <w:t xml:space="preserve">to all relevant parties </w:t>
      </w:r>
      <w:r w:rsidRPr="003973F0">
        <w:rPr>
          <w:rFonts w:cs="Arial"/>
          <w:bCs/>
          <w:sz w:val="20"/>
        </w:rPr>
        <w:t>by ensuring the existence of an effective cash management system to provide for the payment and investment of cash, transmitting timely and reliable cash flow forecasts and ensuring compliance with relevant statutory and regulatory requirements.</w:t>
      </w:r>
      <w:r w:rsidR="00B004F2" w:rsidRPr="003973F0">
        <w:rPr>
          <w:rFonts w:cs="Arial"/>
          <w:bCs/>
          <w:sz w:val="20"/>
        </w:rPr>
        <w:t xml:space="preserve"> </w:t>
      </w:r>
    </w:p>
    <w:p w14:paraId="0D725E52" w14:textId="77777777" w:rsidR="005958A2" w:rsidRPr="003973F0" w:rsidRDefault="005958A2" w:rsidP="00847BF0">
      <w:pPr>
        <w:jc w:val="both"/>
        <w:rPr>
          <w:rFonts w:cs="Arial"/>
          <w:bCs/>
          <w:sz w:val="20"/>
        </w:rPr>
      </w:pPr>
    </w:p>
    <w:p w14:paraId="77993971" w14:textId="77777777" w:rsidR="005958A2" w:rsidRPr="003973F0" w:rsidRDefault="005958A2" w:rsidP="00847BF0">
      <w:pPr>
        <w:jc w:val="both"/>
        <w:rPr>
          <w:rFonts w:cs="Arial"/>
          <w:bCs/>
          <w:sz w:val="20"/>
        </w:rPr>
      </w:pPr>
      <w:r w:rsidRPr="003973F0">
        <w:rPr>
          <w:rFonts w:cs="Arial"/>
          <w:bCs/>
          <w:sz w:val="20"/>
        </w:rPr>
        <w:t>Monies managed for Treasury purpose will be low value and short-term in nature, used to provide payment of pension benefits.  Any higher balances are transferred to external pension investment managers, who invest per their individual investment mandates.</w:t>
      </w:r>
    </w:p>
    <w:p w14:paraId="4C3D9318" w14:textId="77777777" w:rsidR="005958A2" w:rsidRPr="003973F0" w:rsidRDefault="005958A2" w:rsidP="00847BF0">
      <w:pPr>
        <w:jc w:val="both"/>
        <w:rPr>
          <w:rFonts w:cs="Arial"/>
          <w:bCs/>
          <w:sz w:val="20"/>
        </w:rPr>
      </w:pPr>
    </w:p>
    <w:p w14:paraId="7140E10C" w14:textId="77777777" w:rsidR="005958A2" w:rsidRPr="003973F0" w:rsidRDefault="005958A2" w:rsidP="00847BF0">
      <w:pPr>
        <w:jc w:val="both"/>
        <w:rPr>
          <w:rFonts w:cs="Arial"/>
          <w:bCs/>
          <w:sz w:val="20"/>
        </w:rPr>
      </w:pPr>
      <w:r w:rsidRPr="003973F0">
        <w:rPr>
          <w:rFonts w:cs="Arial"/>
          <w:bCs/>
          <w:sz w:val="20"/>
        </w:rPr>
        <w:t xml:space="preserve">In addition to the above, as part of their remit, the Pension Fund’s custodian undertakes short term cash management investment activities on behalf of the fund and operate to pre-agreed criteria within their mandate. </w:t>
      </w:r>
    </w:p>
    <w:p w14:paraId="610687B0" w14:textId="77777777" w:rsidR="005958A2" w:rsidRPr="003973F0" w:rsidRDefault="005958A2" w:rsidP="00847BF0">
      <w:pPr>
        <w:jc w:val="both"/>
        <w:rPr>
          <w:rFonts w:cs="Arial"/>
          <w:bCs/>
          <w:sz w:val="20"/>
        </w:rPr>
      </w:pPr>
    </w:p>
    <w:p w14:paraId="52904E5E" w14:textId="77777777" w:rsidR="00B004F2" w:rsidRPr="003973F0" w:rsidRDefault="00751E1E" w:rsidP="00751E1E">
      <w:pPr>
        <w:numPr>
          <w:ilvl w:val="0"/>
          <w:numId w:val="3"/>
        </w:numPr>
        <w:jc w:val="both"/>
        <w:rPr>
          <w:rFonts w:cs="Arial"/>
          <w:b/>
          <w:sz w:val="20"/>
        </w:rPr>
      </w:pPr>
      <w:r w:rsidRPr="003973F0">
        <w:rPr>
          <w:rFonts w:cs="Arial"/>
          <w:b/>
          <w:sz w:val="20"/>
        </w:rPr>
        <w:t>TREASURY MANAGEMENT PRACTICES</w:t>
      </w:r>
    </w:p>
    <w:p w14:paraId="051B476A" w14:textId="77777777" w:rsidR="00751E1E" w:rsidRPr="003973F0" w:rsidRDefault="00751E1E" w:rsidP="00751E1E">
      <w:pPr>
        <w:jc w:val="both"/>
        <w:rPr>
          <w:rFonts w:cs="Arial"/>
          <w:b/>
          <w:sz w:val="20"/>
        </w:rPr>
      </w:pPr>
    </w:p>
    <w:p w14:paraId="028F6A21" w14:textId="77777777" w:rsidR="00751E1E" w:rsidRPr="003973F0" w:rsidRDefault="00751E1E" w:rsidP="00F940DC">
      <w:pPr>
        <w:jc w:val="both"/>
        <w:rPr>
          <w:rFonts w:cs="Arial"/>
          <w:b/>
          <w:sz w:val="20"/>
        </w:rPr>
      </w:pPr>
      <w:r w:rsidRPr="003973F0">
        <w:rPr>
          <w:rFonts w:cs="Arial"/>
          <w:sz w:val="20"/>
        </w:rPr>
        <w:t xml:space="preserve">Dundee City Council in </w:t>
      </w:r>
      <w:r w:rsidR="00D03CA3" w:rsidRPr="003973F0">
        <w:rPr>
          <w:rFonts w:cs="Arial"/>
          <w:sz w:val="20"/>
        </w:rPr>
        <w:t>its</w:t>
      </w:r>
      <w:r w:rsidRPr="003973F0">
        <w:rPr>
          <w:rFonts w:cs="Arial"/>
          <w:sz w:val="20"/>
        </w:rPr>
        <w:t xml:space="preserve"> administering role will follow the main principles as detailed in their separate policy, listed as:</w:t>
      </w:r>
    </w:p>
    <w:p w14:paraId="52E72571" w14:textId="77777777" w:rsidR="00751E1E" w:rsidRPr="003973F0" w:rsidRDefault="00751E1E" w:rsidP="00751E1E">
      <w:pPr>
        <w:numPr>
          <w:ilvl w:val="0"/>
          <w:numId w:val="27"/>
        </w:numPr>
        <w:rPr>
          <w:rFonts w:cs="Arial"/>
          <w:sz w:val="20"/>
        </w:rPr>
      </w:pPr>
      <w:r w:rsidRPr="003973F0">
        <w:rPr>
          <w:rFonts w:cs="Arial"/>
          <w:sz w:val="20"/>
        </w:rPr>
        <w:t>TMP 1</w:t>
      </w:r>
      <w:r w:rsidRPr="003973F0">
        <w:rPr>
          <w:rFonts w:cs="Arial"/>
          <w:sz w:val="20"/>
        </w:rPr>
        <w:tab/>
        <w:t>Risk Management</w:t>
      </w:r>
    </w:p>
    <w:p w14:paraId="08943566" w14:textId="77777777" w:rsidR="00751E1E" w:rsidRPr="003973F0" w:rsidRDefault="00751E1E" w:rsidP="00751E1E">
      <w:pPr>
        <w:numPr>
          <w:ilvl w:val="0"/>
          <w:numId w:val="27"/>
        </w:numPr>
        <w:rPr>
          <w:rFonts w:cs="Arial"/>
          <w:sz w:val="20"/>
        </w:rPr>
      </w:pPr>
      <w:r w:rsidRPr="003973F0">
        <w:rPr>
          <w:rFonts w:cs="Arial"/>
          <w:sz w:val="20"/>
        </w:rPr>
        <w:t>TMP 2</w:t>
      </w:r>
      <w:r w:rsidRPr="003973F0">
        <w:rPr>
          <w:rFonts w:cs="Arial"/>
          <w:sz w:val="20"/>
        </w:rPr>
        <w:tab/>
        <w:t>Performance Measurement</w:t>
      </w:r>
    </w:p>
    <w:p w14:paraId="38D15043" w14:textId="77777777" w:rsidR="00751E1E" w:rsidRPr="003973F0" w:rsidRDefault="00751E1E" w:rsidP="00751E1E">
      <w:pPr>
        <w:numPr>
          <w:ilvl w:val="0"/>
          <w:numId w:val="27"/>
        </w:numPr>
        <w:rPr>
          <w:rFonts w:cs="Arial"/>
          <w:sz w:val="20"/>
        </w:rPr>
      </w:pPr>
      <w:r w:rsidRPr="003973F0">
        <w:rPr>
          <w:rFonts w:cs="Arial"/>
          <w:sz w:val="20"/>
        </w:rPr>
        <w:t>TMP 3</w:t>
      </w:r>
      <w:r w:rsidRPr="003973F0">
        <w:rPr>
          <w:rFonts w:cs="Arial"/>
          <w:sz w:val="20"/>
        </w:rPr>
        <w:tab/>
        <w:t>Decision-making and analysis</w:t>
      </w:r>
    </w:p>
    <w:p w14:paraId="5100FBBF" w14:textId="77777777" w:rsidR="00751E1E" w:rsidRPr="003973F0" w:rsidRDefault="00751E1E" w:rsidP="00751E1E">
      <w:pPr>
        <w:numPr>
          <w:ilvl w:val="0"/>
          <w:numId w:val="27"/>
        </w:numPr>
        <w:rPr>
          <w:rFonts w:cs="Arial"/>
          <w:sz w:val="20"/>
        </w:rPr>
      </w:pPr>
      <w:r w:rsidRPr="003973F0">
        <w:rPr>
          <w:rFonts w:cs="Arial"/>
          <w:sz w:val="20"/>
        </w:rPr>
        <w:t>TMP 4</w:t>
      </w:r>
      <w:r w:rsidRPr="003973F0">
        <w:rPr>
          <w:rFonts w:cs="Arial"/>
          <w:sz w:val="20"/>
        </w:rPr>
        <w:tab/>
        <w:t>Approved Instruments, Methods and Techniques</w:t>
      </w:r>
    </w:p>
    <w:p w14:paraId="2DC6AD53" w14:textId="77777777" w:rsidR="00751E1E" w:rsidRPr="003973F0" w:rsidRDefault="00751E1E" w:rsidP="00751E1E">
      <w:pPr>
        <w:numPr>
          <w:ilvl w:val="0"/>
          <w:numId w:val="27"/>
        </w:numPr>
        <w:rPr>
          <w:rFonts w:cs="Arial"/>
          <w:sz w:val="20"/>
        </w:rPr>
      </w:pPr>
      <w:r w:rsidRPr="003973F0">
        <w:rPr>
          <w:rFonts w:cs="Arial"/>
          <w:sz w:val="20"/>
        </w:rPr>
        <w:t>TMP 5</w:t>
      </w:r>
      <w:r w:rsidRPr="003973F0">
        <w:rPr>
          <w:rFonts w:cs="Arial"/>
          <w:sz w:val="20"/>
        </w:rPr>
        <w:tab/>
        <w:t xml:space="preserve">Organisation, Clarity and Segregation of Responsibilities and Dealing Arrangements </w:t>
      </w:r>
    </w:p>
    <w:p w14:paraId="39F401F3" w14:textId="77777777" w:rsidR="00751E1E" w:rsidRPr="003973F0" w:rsidRDefault="00751E1E" w:rsidP="00751E1E">
      <w:pPr>
        <w:numPr>
          <w:ilvl w:val="0"/>
          <w:numId w:val="27"/>
        </w:numPr>
        <w:rPr>
          <w:rFonts w:cs="Arial"/>
          <w:sz w:val="20"/>
        </w:rPr>
      </w:pPr>
      <w:r w:rsidRPr="003973F0">
        <w:rPr>
          <w:rFonts w:cs="Arial"/>
          <w:sz w:val="20"/>
        </w:rPr>
        <w:t>TMP 6</w:t>
      </w:r>
      <w:r w:rsidRPr="003973F0">
        <w:rPr>
          <w:rFonts w:cs="Arial"/>
          <w:sz w:val="20"/>
        </w:rPr>
        <w:tab/>
        <w:t>Reporting Requirements and Management Information Arrangements</w:t>
      </w:r>
    </w:p>
    <w:p w14:paraId="60FB94FA" w14:textId="77777777" w:rsidR="00751E1E" w:rsidRPr="003973F0" w:rsidRDefault="00751E1E" w:rsidP="00751E1E">
      <w:pPr>
        <w:numPr>
          <w:ilvl w:val="0"/>
          <w:numId w:val="27"/>
        </w:numPr>
        <w:rPr>
          <w:rFonts w:cs="Arial"/>
          <w:sz w:val="20"/>
        </w:rPr>
      </w:pPr>
      <w:r w:rsidRPr="003973F0">
        <w:rPr>
          <w:rFonts w:cs="Arial"/>
          <w:sz w:val="20"/>
        </w:rPr>
        <w:t>TMP 7</w:t>
      </w:r>
      <w:r w:rsidRPr="003973F0">
        <w:rPr>
          <w:rFonts w:cs="Arial"/>
          <w:sz w:val="20"/>
        </w:rPr>
        <w:tab/>
        <w:t>Budgeting, Accounting and Audit Arrangements</w:t>
      </w:r>
    </w:p>
    <w:p w14:paraId="2E8F2286" w14:textId="77777777" w:rsidR="00751E1E" w:rsidRPr="003973F0" w:rsidRDefault="00751E1E" w:rsidP="00751E1E">
      <w:pPr>
        <w:numPr>
          <w:ilvl w:val="0"/>
          <w:numId w:val="27"/>
        </w:numPr>
        <w:rPr>
          <w:rFonts w:cs="Arial"/>
          <w:sz w:val="20"/>
        </w:rPr>
      </w:pPr>
      <w:r w:rsidRPr="003973F0">
        <w:rPr>
          <w:rFonts w:cs="Arial"/>
          <w:sz w:val="20"/>
        </w:rPr>
        <w:t>TMP 8</w:t>
      </w:r>
      <w:r w:rsidRPr="003973F0">
        <w:rPr>
          <w:rFonts w:cs="Arial"/>
          <w:sz w:val="20"/>
        </w:rPr>
        <w:tab/>
        <w:t>Cash and Cash Flow Management</w:t>
      </w:r>
    </w:p>
    <w:p w14:paraId="442C3124" w14:textId="77777777" w:rsidR="00751E1E" w:rsidRPr="003973F0" w:rsidRDefault="00751E1E" w:rsidP="00751E1E">
      <w:pPr>
        <w:numPr>
          <w:ilvl w:val="0"/>
          <w:numId w:val="27"/>
        </w:numPr>
        <w:rPr>
          <w:rFonts w:cs="Arial"/>
          <w:sz w:val="20"/>
        </w:rPr>
      </w:pPr>
      <w:r w:rsidRPr="003973F0">
        <w:rPr>
          <w:rFonts w:cs="Arial"/>
          <w:sz w:val="20"/>
        </w:rPr>
        <w:t>TMP 9</w:t>
      </w:r>
      <w:r w:rsidRPr="003973F0">
        <w:rPr>
          <w:rFonts w:cs="Arial"/>
          <w:sz w:val="20"/>
        </w:rPr>
        <w:tab/>
        <w:t>Money Laundering</w:t>
      </w:r>
    </w:p>
    <w:p w14:paraId="6E661056" w14:textId="77777777" w:rsidR="00751E1E" w:rsidRPr="003973F0" w:rsidRDefault="00751E1E" w:rsidP="00751E1E">
      <w:pPr>
        <w:numPr>
          <w:ilvl w:val="0"/>
          <w:numId w:val="27"/>
        </w:numPr>
        <w:rPr>
          <w:rFonts w:cs="Arial"/>
          <w:sz w:val="20"/>
        </w:rPr>
      </w:pPr>
      <w:r w:rsidRPr="003973F0">
        <w:rPr>
          <w:rFonts w:cs="Arial"/>
          <w:sz w:val="20"/>
        </w:rPr>
        <w:t>TMP 10 Training and Qualifications</w:t>
      </w:r>
    </w:p>
    <w:p w14:paraId="5C8DA069" w14:textId="77777777" w:rsidR="00751E1E" w:rsidRPr="003973F0" w:rsidRDefault="00751E1E" w:rsidP="00751E1E">
      <w:pPr>
        <w:numPr>
          <w:ilvl w:val="0"/>
          <w:numId w:val="27"/>
        </w:numPr>
        <w:rPr>
          <w:rFonts w:cs="Arial"/>
          <w:sz w:val="20"/>
        </w:rPr>
      </w:pPr>
      <w:r w:rsidRPr="003973F0">
        <w:rPr>
          <w:rFonts w:cs="Arial"/>
          <w:sz w:val="20"/>
        </w:rPr>
        <w:t>TMP 11 Use of External Service Providers</w:t>
      </w:r>
    </w:p>
    <w:p w14:paraId="404FCF03" w14:textId="77777777" w:rsidR="00751E1E" w:rsidRDefault="00751E1E" w:rsidP="00751E1E">
      <w:pPr>
        <w:numPr>
          <w:ilvl w:val="0"/>
          <w:numId w:val="27"/>
        </w:numPr>
        <w:rPr>
          <w:rFonts w:cs="Arial"/>
          <w:sz w:val="20"/>
        </w:rPr>
      </w:pPr>
      <w:r w:rsidRPr="003973F0">
        <w:rPr>
          <w:rFonts w:cs="Arial"/>
          <w:sz w:val="20"/>
        </w:rPr>
        <w:t>TMP 12 Corporate Governance</w:t>
      </w:r>
    </w:p>
    <w:p w14:paraId="7706334C" w14:textId="77777777" w:rsidR="00977B2D" w:rsidRDefault="00977B2D" w:rsidP="00977B2D">
      <w:pPr>
        <w:rPr>
          <w:rFonts w:cs="Arial"/>
          <w:sz w:val="20"/>
        </w:rPr>
      </w:pPr>
    </w:p>
    <w:p w14:paraId="26E897C1" w14:textId="57EB0C63" w:rsidR="00977B2D" w:rsidRDefault="00977B2D" w:rsidP="00977B2D">
      <w:pPr>
        <w:numPr>
          <w:ilvl w:val="0"/>
          <w:numId w:val="3"/>
        </w:numPr>
        <w:jc w:val="both"/>
        <w:rPr>
          <w:rFonts w:cs="Arial"/>
          <w:b/>
          <w:bCs/>
          <w:sz w:val="20"/>
        </w:rPr>
      </w:pPr>
      <w:r w:rsidRPr="00977B2D">
        <w:rPr>
          <w:rFonts w:cs="Arial"/>
          <w:b/>
          <w:bCs/>
          <w:sz w:val="20"/>
        </w:rPr>
        <w:t>REBALANCING</w:t>
      </w:r>
    </w:p>
    <w:p w14:paraId="130FD5D9" w14:textId="77777777" w:rsidR="00977B2D" w:rsidRDefault="00977B2D" w:rsidP="00977B2D">
      <w:pPr>
        <w:jc w:val="both"/>
        <w:rPr>
          <w:rFonts w:cs="Arial"/>
          <w:b/>
          <w:bCs/>
          <w:sz w:val="20"/>
        </w:rPr>
      </w:pPr>
    </w:p>
    <w:p w14:paraId="1CBCF209" w14:textId="7BA7BE4E" w:rsidR="00D62572" w:rsidRPr="00D62572" w:rsidRDefault="00D62572" w:rsidP="00D62572">
      <w:pPr>
        <w:jc w:val="both"/>
        <w:rPr>
          <w:rFonts w:cs="Arial"/>
          <w:sz w:val="20"/>
        </w:rPr>
      </w:pPr>
      <w:r w:rsidRPr="00D62572">
        <w:rPr>
          <w:rFonts w:cs="Arial"/>
          <w:sz w:val="20"/>
        </w:rPr>
        <w:t>Rebalancing is the process of adjusting the mix of investments in the Fund to keep it aligned with its target asset allocation and risk level</w:t>
      </w:r>
      <w:r w:rsidR="005772F8">
        <w:rPr>
          <w:rFonts w:cs="Arial"/>
          <w:sz w:val="20"/>
        </w:rPr>
        <w:t xml:space="preserve">, and </w:t>
      </w:r>
      <w:r w:rsidR="007F75BA">
        <w:rPr>
          <w:rFonts w:cs="Arial"/>
          <w:sz w:val="20"/>
        </w:rPr>
        <w:t>also to ensure that the Fund has sufficient liquidity to pay benefits as required</w:t>
      </w:r>
      <w:r w:rsidRPr="00D62572">
        <w:rPr>
          <w:rFonts w:cs="Arial"/>
          <w:sz w:val="20"/>
        </w:rPr>
        <w:t>. This involves buying or selling assets to maintain the desired balance.</w:t>
      </w:r>
    </w:p>
    <w:p w14:paraId="179E0609" w14:textId="77777777" w:rsidR="00D62572" w:rsidRPr="00D62572" w:rsidRDefault="00D62572" w:rsidP="00D62572">
      <w:pPr>
        <w:jc w:val="both"/>
        <w:rPr>
          <w:rFonts w:cs="Arial"/>
          <w:sz w:val="20"/>
        </w:rPr>
      </w:pPr>
    </w:p>
    <w:p w14:paraId="245A34AE" w14:textId="0723081E" w:rsidR="00D62572" w:rsidRPr="00D62572" w:rsidRDefault="00D62572" w:rsidP="00D62572">
      <w:pPr>
        <w:jc w:val="both"/>
        <w:rPr>
          <w:rFonts w:cs="Arial"/>
          <w:sz w:val="20"/>
        </w:rPr>
      </w:pPr>
      <w:r w:rsidRPr="00D62572">
        <w:rPr>
          <w:rFonts w:cs="Arial"/>
          <w:sz w:val="20"/>
        </w:rPr>
        <w:t>Rebalancing helps protect the Fund from taking on too much risk</w:t>
      </w:r>
      <w:r w:rsidR="00EB6119">
        <w:rPr>
          <w:rFonts w:cs="Arial"/>
          <w:sz w:val="20"/>
        </w:rPr>
        <w:t xml:space="preserve">, </w:t>
      </w:r>
      <w:r w:rsidRPr="00D62572">
        <w:rPr>
          <w:rFonts w:cs="Arial"/>
          <w:sz w:val="20"/>
        </w:rPr>
        <w:t>either within specific asset classes or with individual investment managers. It can also improve returns by selling assets that have increased in value (and may now be overpriced) and buying those that have underperformed (and may offer better value).</w:t>
      </w:r>
      <w:r w:rsidR="00EB6119">
        <w:rPr>
          <w:rFonts w:cs="Arial"/>
          <w:sz w:val="20"/>
        </w:rPr>
        <w:t xml:space="preserve">  Portfolio managers undertake th</w:t>
      </w:r>
      <w:r w:rsidR="009F2549">
        <w:rPr>
          <w:rFonts w:cs="Arial"/>
          <w:sz w:val="20"/>
        </w:rPr>
        <w:t xml:space="preserve">ese exercises at individual asset </w:t>
      </w:r>
      <w:r w:rsidR="005A4976">
        <w:rPr>
          <w:rFonts w:cs="Arial"/>
          <w:sz w:val="20"/>
        </w:rPr>
        <w:t>level and</w:t>
      </w:r>
      <w:r w:rsidR="00D721A1">
        <w:rPr>
          <w:rFonts w:cs="Arial"/>
          <w:sz w:val="20"/>
        </w:rPr>
        <w:t xml:space="preserve"> are responsible for ensuring that their portfolios remain within the tolerances set within their individual investment management agreements.</w:t>
      </w:r>
    </w:p>
    <w:p w14:paraId="33A3AD89" w14:textId="77777777" w:rsidR="00D62572" w:rsidRPr="00D62572" w:rsidRDefault="00D62572" w:rsidP="00D62572">
      <w:pPr>
        <w:jc w:val="both"/>
        <w:rPr>
          <w:rFonts w:cs="Arial"/>
          <w:sz w:val="20"/>
        </w:rPr>
      </w:pPr>
    </w:p>
    <w:p w14:paraId="45DDFCC7" w14:textId="2CC101FE" w:rsidR="00B75266" w:rsidRPr="00B75266" w:rsidRDefault="00D62572" w:rsidP="00B75266">
      <w:pPr>
        <w:jc w:val="both"/>
        <w:rPr>
          <w:rFonts w:cs="Arial"/>
          <w:sz w:val="20"/>
        </w:rPr>
      </w:pPr>
      <w:r w:rsidRPr="00D62572">
        <w:rPr>
          <w:rFonts w:cs="Arial"/>
          <w:sz w:val="20"/>
        </w:rPr>
        <w:t>The</w:t>
      </w:r>
      <w:r w:rsidR="001E41DC">
        <w:rPr>
          <w:rFonts w:cs="Arial"/>
          <w:sz w:val="20"/>
        </w:rPr>
        <w:t xml:space="preserve"> overall</w:t>
      </w:r>
      <w:r w:rsidRPr="00D62572">
        <w:rPr>
          <w:rFonts w:cs="Arial"/>
          <w:sz w:val="20"/>
        </w:rPr>
        <w:t xml:space="preserve"> goal of rebalancing is to keep the Fund’s overall risk at its intended level. However, since rebalancing involves transaction costs, it should only be done when necessary</w:t>
      </w:r>
      <w:r w:rsidR="00D2071A">
        <w:rPr>
          <w:rFonts w:cs="Arial"/>
          <w:sz w:val="20"/>
        </w:rPr>
        <w:t xml:space="preserve"> as f</w:t>
      </w:r>
      <w:r w:rsidRPr="00D62572">
        <w:rPr>
          <w:rFonts w:cs="Arial"/>
          <w:sz w:val="20"/>
        </w:rPr>
        <w:t>requent small adjustments can lead to unnecessary costs without significantly improving the Fund’s risk-return profile. Therefore, a fixed annual rebalancing is not required, as it may result in excessive trading and added costs without clear benefits.</w:t>
      </w:r>
      <w:r w:rsidR="000E5654" w:rsidRPr="005A028A">
        <w:rPr>
          <w:rFonts w:cs="Arial"/>
          <w:sz w:val="20"/>
        </w:rPr>
        <w:t xml:space="preserve"> </w:t>
      </w:r>
      <w:r w:rsidR="00B75266" w:rsidRPr="00B75266">
        <w:rPr>
          <w:rFonts w:cs="Arial"/>
          <w:sz w:val="20"/>
        </w:rPr>
        <w:t xml:space="preserve">Rebalancing is guided by review ranges, which are set with some flexibility. </w:t>
      </w:r>
    </w:p>
    <w:p w14:paraId="5E61E9D7" w14:textId="565140FB" w:rsidR="00B75266" w:rsidRPr="00B75266" w:rsidRDefault="00244F83" w:rsidP="00B75266">
      <w:pPr>
        <w:jc w:val="both"/>
        <w:rPr>
          <w:rFonts w:cs="Arial"/>
          <w:sz w:val="20"/>
        </w:rPr>
      </w:pPr>
      <w:r>
        <w:rPr>
          <w:rFonts w:cs="Arial"/>
          <w:sz w:val="20"/>
        </w:rPr>
        <w:t>E</w:t>
      </w:r>
      <w:r w:rsidR="00B75266" w:rsidRPr="00B75266">
        <w:rPr>
          <w:rFonts w:cs="Arial"/>
          <w:sz w:val="20"/>
        </w:rPr>
        <w:t xml:space="preserve">ach asset class has its own tolerance range, taking into account its volatility and the cost of trading. </w:t>
      </w:r>
    </w:p>
    <w:p w14:paraId="6D54BBAA" w14:textId="77777777" w:rsidR="00B75266" w:rsidRPr="00B75266" w:rsidRDefault="00B75266" w:rsidP="00B75266">
      <w:pPr>
        <w:jc w:val="both"/>
        <w:rPr>
          <w:rFonts w:cs="Arial"/>
          <w:sz w:val="20"/>
        </w:rPr>
      </w:pPr>
    </w:p>
    <w:p w14:paraId="144AEA12" w14:textId="3F6A283E" w:rsidR="00B75266" w:rsidRPr="00B75266" w:rsidRDefault="00A3044D" w:rsidP="00B75266">
      <w:pPr>
        <w:jc w:val="both"/>
        <w:rPr>
          <w:rFonts w:cs="Arial"/>
          <w:sz w:val="20"/>
        </w:rPr>
      </w:pPr>
      <w:r>
        <w:rPr>
          <w:rFonts w:cs="Arial"/>
          <w:sz w:val="20"/>
        </w:rPr>
        <w:lastRenderedPageBreak/>
        <w:t>W</w:t>
      </w:r>
      <w:r w:rsidR="00B75266" w:rsidRPr="00B75266">
        <w:rPr>
          <w:rFonts w:cs="Arial"/>
          <w:sz w:val="20"/>
        </w:rPr>
        <w:t xml:space="preserve">here possible, cash inflows, outflows, or income generated by the Fund’s assets should be used to help bring asset allocations closer to target. </w:t>
      </w:r>
    </w:p>
    <w:p w14:paraId="19027AF9" w14:textId="77777777" w:rsidR="00B75266" w:rsidRPr="00B75266" w:rsidRDefault="00B75266" w:rsidP="00B75266">
      <w:pPr>
        <w:jc w:val="both"/>
        <w:rPr>
          <w:rFonts w:cs="Arial"/>
          <w:sz w:val="20"/>
        </w:rPr>
      </w:pPr>
    </w:p>
    <w:p w14:paraId="6A15D25A" w14:textId="34050208" w:rsidR="00B75266" w:rsidRPr="00B75266" w:rsidRDefault="00B75266" w:rsidP="00B75266">
      <w:pPr>
        <w:jc w:val="both"/>
        <w:rPr>
          <w:rFonts w:cs="Arial"/>
          <w:sz w:val="20"/>
        </w:rPr>
      </w:pPr>
      <w:r w:rsidRPr="00B75266">
        <w:rPr>
          <w:rFonts w:cs="Arial"/>
          <w:sz w:val="20"/>
        </w:rPr>
        <w:t>The Fund’s asset allocation</w:t>
      </w:r>
      <w:r w:rsidR="00846959">
        <w:rPr>
          <w:rFonts w:cs="Arial"/>
          <w:sz w:val="20"/>
        </w:rPr>
        <w:t xml:space="preserve"> is presented</w:t>
      </w:r>
      <w:r w:rsidR="00B25357">
        <w:rPr>
          <w:rFonts w:cs="Arial"/>
          <w:sz w:val="20"/>
        </w:rPr>
        <w:t xml:space="preserve"> to members</w:t>
      </w:r>
      <w:r w:rsidRPr="00B75266">
        <w:rPr>
          <w:rFonts w:cs="Arial"/>
          <w:sz w:val="20"/>
        </w:rPr>
        <w:t xml:space="preserve"> at eac</w:t>
      </w:r>
      <w:r w:rsidR="00B25357">
        <w:rPr>
          <w:rFonts w:cs="Arial"/>
          <w:sz w:val="20"/>
        </w:rPr>
        <w:t xml:space="preserve">h </w:t>
      </w:r>
      <w:r w:rsidRPr="00B75266">
        <w:rPr>
          <w:rFonts w:cs="Arial"/>
          <w:sz w:val="20"/>
        </w:rPr>
        <w:t xml:space="preserve">meeting and </w:t>
      </w:r>
      <w:r w:rsidR="00B25357">
        <w:rPr>
          <w:rFonts w:cs="Arial"/>
          <w:sz w:val="20"/>
        </w:rPr>
        <w:t xml:space="preserve">they are </w:t>
      </w:r>
      <w:r w:rsidR="00846959">
        <w:rPr>
          <w:rFonts w:cs="Arial"/>
          <w:sz w:val="20"/>
        </w:rPr>
        <w:t xml:space="preserve">informed of any rebalancing </w:t>
      </w:r>
      <w:r w:rsidR="007E59B7">
        <w:rPr>
          <w:rFonts w:cs="Arial"/>
          <w:sz w:val="20"/>
        </w:rPr>
        <w:t>undertaken in the quarter</w:t>
      </w:r>
      <w:r w:rsidRPr="00B75266">
        <w:rPr>
          <w:rFonts w:cs="Arial"/>
          <w:sz w:val="20"/>
        </w:rPr>
        <w:t>. If a review range is breached between meeting</w:t>
      </w:r>
      <w:r w:rsidR="001010A6">
        <w:rPr>
          <w:rFonts w:cs="Arial"/>
          <w:sz w:val="20"/>
        </w:rPr>
        <w:t>s, it will be documented and reported on, as well as remedy undertaken</w:t>
      </w:r>
      <w:r w:rsidR="00144148">
        <w:rPr>
          <w:rFonts w:cs="Arial"/>
          <w:sz w:val="20"/>
        </w:rPr>
        <w:t>.</w:t>
      </w:r>
    </w:p>
    <w:p w14:paraId="6233A6FA" w14:textId="77777777" w:rsidR="00B75266" w:rsidRDefault="00B75266" w:rsidP="00B75266">
      <w:pPr>
        <w:jc w:val="both"/>
        <w:rPr>
          <w:rFonts w:cs="Arial"/>
          <w:sz w:val="20"/>
        </w:rPr>
      </w:pPr>
    </w:p>
    <w:p w14:paraId="601F21C1" w14:textId="094DDB88" w:rsidR="00735BF3" w:rsidRDefault="006C4C27" w:rsidP="004C2D7A">
      <w:pPr>
        <w:jc w:val="both"/>
        <w:rPr>
          <w:rFonts w:cs="Arial"/>
          <w:sz w:val="20"/>
        </w:rPr>
      </w:pPr>
      <w:r>
        <w:rPr>
          <w:rFonts w:cs="Arial"/>
          <w:sz w:val="20"/>
        </w:rPr>
        <w:t>The</w:t>
      </w:r>
      <w:r w:rsidR="00735BF3" w:rsidRPr="00735BF3">
        <w:rPr>
          <w:rFonts w:cs="Arial"/>
          <w:sz w:val="20"/>
        </w:rPr>
        <w:t xml:space="preserve"> central allocations for each asset class and also for each</w:t>
      </w:r>
      <w:r>
        <w:rPr>
          <w:rFonts w:cs="Arial"/>
          <w:sz w:val="20"/>
        </w:rPr>
        <w:t xml:space="preserve"> </w:t>
      </w:r>
      <w:r w:rsidR="00735BF3" w:rsidRPr="00735BF3">
        <w:rPr>
          <w:rFonts w:cs="Arial"/>
          <w:sz w:val="20"/>
        </w:rPr>
        <w:t>manager</w:t>
      </w:r>
      <w:r>
        <w:rPr>
          <w:rFonts w:cs="Arial"/>
          <w:sz w:val="20"/>
        </w:rPr>
        <w:t xml:space="preserve"> are</w:t>
      </w:r>
      <w:r w:rsidR="00735BF3" w:rsidRPr="00735BF3">
        <w:rPr>
          <w:rFonts w:cs="Arial"/>
          <w:sz w:val="20"/>
        </w:rPr>
        <w:t xml:space="preserve"> formally reviewed </w:t>
      </w:r>
      <w:r>
        <w:rPr>
          <w:rFonts w:cs="Arial"/>
          <w:sz w:val="20"/>
        </w:rPr>
        <w:t>and approved annually</w:t>
      </w:r>
      <w:r w:rsidR="00735BF3" w:rsidRPr="00735BF3">
        <w:rPr>
          <w:rFonts w:cs="Arial"/>
          <w:sz w:val="20"/>
        </w:rPr>
        <w:t xml:space="preserve"> as part of the review of the Investment Strategy</w:t>
      </w:r>
      <w:r w:rsidR="00992FC8">
        <w:rPr>
          <w:rFonts w:cs="Arial"/>
          <w:sz w:val="20"/>
        </w:rPr>
        <w:t xml:space="preserve"> </w:t>
      </w:r>
      <w:r w:rsidR="00735BF3" w:rsidRPr="00735BF3">
        <w:rPr>
          <w:rFonts w:cs="Arial"/>
          <w:sz w:val="20"/>
        </w:rPr>
        <w:t xml:space="preserve">Statement but </w:t>
      </w:r>
      <w:r w:rsidR="00992FC8">
        <w:rPr>
          <w:rFonts w:cs="Arial"/>
          <w:sz w:val="20"/>
        </w:rPr>
        <w:t>is also</w:t>
      </w:r>
      <w:r w:rsidR="00735BF3" w:rsidRPr="00735BF3">
        <w:rPr>
          <w:rFonts w:cs="Arial"/>
          <w:sz w:val="20"/>
        </w:rPr>
        <w:t xml:space="preserve"> reviewed </w:t>
      </w:r>
      <w:r w:rsidR="00B0257A">
        <w:rPr>
          <w:rFonts w:cs="Arial"/>
          <w:sz w:val="20"/>
        </w:rPr>
        <w:t xml:space="preserve">following actuarial valuation.  </w:t>
      </w:r>
      <w:r w:rsidR="004C2D7A" w:rsidRPr="004C2D7A">
        <w:rPr>
          <w:rFonts w:cs="Arial"/>
          <w:sz w:val="20"/>
        </w:rPr>
        <w:t>Review ranges have been set around central positions and are not expected to be breached</w:t>
      </w:r>
      <w:r w:rsidR="004C2D7A">
        <w:rPr>
          <w:rFonts w:cs="Arial"/>
          <w:sz w:val="20"/>
        </w:rPr>
        <w:t xml:space="preserve"> </w:t>
      </w:r>
      <w:r w:rsidR="004C2D7A" w:rsidRPr="004C2D7A">
        <w:rPr>
          <w:rFonts w:cs="Arial"/>
          <w:sz w:val="20"/>
        </w:rPr>
        <w:t>often.</w:t>
      </w:r>
    </w:p>
    <w:p w14:paraId="413DDCB6" w14:textId="77777777" w:rsidR="00B0257A" w:rsidRDefault="00B0257A" w:rsidP="00735BF3">
      <w:pPr>
        <w:jc w:val="both"/>
        <w:rPr>
          <w:rFonts w:cs="Arial"/>
          <w:sz w:val="20"/>
        </w:rPr>
      </w:pPr>
    </w:p>
    <w:p w14:paraId="6413C0C6" w14:textId="77777777" w:rsidR="004C2D7A" w:rsidRPr="00735BF3" w:rsidRDefault="004C2D7A" w:rsidP="004C2D7A">
      <w:pPr>
        <w:jc w:val="both"/>
        <w:rPr>
          <w:rFonts w:cs="Arial"/>
          <w:sz w:val="20"/>
        </w:rPr>
      </w:pPr>
      <w:r w:rsidRPr="00735BF3">
        <w:rPr>
          <w:rFonts w:cs="Arial"/>
          <w:sz w:val="20"/>
        </w:rPr>
        <w:t xml:space="preserve">The current central allocations and ranges are as follows:  </w:t>
      </w:r>
    </w:p>
    <w:p w14:paraId="75B675E4" w14:textId="77777777" w:rsidR="00B0257A" w:rsidRDefault="00B0257A" w:rsidP="00735BF3">
      <w:pPr>
        <w:jc w:val="both"/>
        <w:rPr>
          <w:rFonts w:cs="Arial"/>
          <w:sz w:val="20"/>
        </w:rPr>
      </w:pPr>
    </w:p>
    <w:tbl>
      <w:tblPr>
        <w:tblStyle w:val="TableGrid"/>
        <w:tblW w:w="0" w:type="auto"/>
        <w:jc w:val="center"/>
        <w:tblLook w:val="04A0" w:firstRow="1" w:lastRow="0" w:firstColumn="1" w:lastColumn="0" w:noHBand="0" w:noVBand="1"/>
      </w:tblPr>
      <w:tblGrid>
        <w:gridCol w:w="1851"/>
        <w:gridCol w:w="2607"/>
        <w:gridCol w:w="1717"/>
        <w:gridCol w:w="806"/>
      </w:tblGrid>
      <w:tr w:rsidR="00E66781" w14:paraId="122EE909" w14:textId="77777777" w:rsidTr="00A3044D">
        <w:trPr>
          <w:jc w:val="center"/>
        </w:trPr>
        <w:tc>
          <w:tcPr>
            <w:tcW w:w="0" w:type="auto"/>
          </w:tcPr>
          <w:p w14:paraId="743EBC14" w14:textId="0444293C" w:rsidR="00E66781" w:rsidRDefault="00E66781" w:rsidP="00735BF3">
            <w:pPr>
              <w:jc w:val="both"/>
              <w:rPr>
                <w:rFonts w:cs="Arial"/>
                <w:sz w:val="20"/>
              </w:rPr>
            </w:pPr>
            <w:r>
              <w:rPr>
                <w:rFonts w:cs="Arial"/>
                <w:sz w:val="20"/>
              </w:rPr>
              <w:t>Asset Class</w:t>
            </w:r>
          </w:p>
        </w:tc>
        <w:tc>
          <w:tcPr>
            <w:tcW w:w="0" w:type="auto"/>
          </w:tcPr>
          <w:p w14:paraId="523FDF9F" w14:textId="0442580B" w:rsidR="00E66781" w:rsidRDefault="00631973" w:rsidP="00735BF3">
            <w:pPr>
              <w:jc w:val="both"/>
              <w:rPr>
                <w:rFonts w:cs="Arial"/>
                <w:sz w:val="20"/>
              </w:rPr>
            </w:pPr>
            <w:r>
              <w:rPr>
                <w:rFonts w:cs="Arial"/>
                <w:sz w:val="20"/>
              </w:rPr>
              <w:t>Portfolio</w:t>
            </w:r>
          </w:p>
        </w:tc>
        <w:tc>
          <w:tcPr>
            <w:tcW w:w="0" w:type="auto"/>
          </w:tcPr>
          <w:p w14:paraId="7772AE6D" w14:textId="2B4D4E20" w:rsidR="00E66781" w:rsidRDefault="00E66781" w:rsidP="00735BF3">
            <w:pPr>
              <w:jc w:val="both"/>
              <w:rPr>
                <w:rFonts w:cs="Arial"/>
                <w:sz w:val="20"/>
              </w:rPr>
            </w:pPr>
            <w:r>
              <w:rPr>
                <w:rFonts w:cs="Arial"/>
                <w:sz w:val="20"/>
              </w:rPr>
              <w:t>Target Allocation</w:t>
            </w:r>
          </w:p>
        </w:tc>
        <w:tc>
          <w:tcPr>
            <w:tcW w:w="0" w:type="auto"/>
          </w:tcPr>
          <w:p w14:paraId="059A795F" w14:textId="3765364F" w:rsidR="00E66781" w:rsidRDefault="00E66781" w:rsidP="00735BF3">
            <w:pPr>
              <w:jc w:val="both"/>
              <w:rPr>
                <w:rFonts w:cs="Arial"/>
                <w:sz w:val="20"/>
              </w:rPr>
            </w:pPr>
            <w:r>
              <w:rPr>
                <w:rFonts w:cs="Arial"/>
                <w:sz w:val="20"/>
              </w:rPr>
              <w:t>Range</w:t>
            </w:r>
          </w:p>
        </w:tc>
      </w:tr>
      <w:tr w:rsidR="00D331E2" w14:paraId="12CC7A2D" w14:textId="77777777" w:rsidTr="00A3044D">
        <w:trPr>
          <w:jc w:val="center"/>
        </w:trPr>
        <w:tc>
          <w:tcPr>
            <w:tcW w:w="0" w:type="auto"/>
            <w:vMerge w:val="restart"/>
          </w:tcPr>
          <w:p w14:paraId="1BEB9DF5" w14:textId="53B8E73A" w:rsidR="00D331E2" w:rsidRDefault="00D331E2" w:rsidP="00541FCB">
            <w:pPr>
              <w:jc w:val="center"/>
              <w:rPr>
                <w:rFonts w:cs="Arial"/>
                <w:sz w:val="20"/>
              </w:rPr>
            </w:pPr>
            <w:r>
              <w:rPr>
                <w:rFonts w:cs="Arial"/>
                <w:sz w:val="20"/>
              </w:rPr>
              <w:t>Equities – Active</w:t>
            </w:r>
          </w:p>
          <w:p w14:paraId="3B3973C2" w14:textId="77777777" w:rsidR="00D331E2" w:rsidRDefault="00D331E2" w:rsidP="00541FCB">
            <w:pPr>
              <w:jc w:val="center"/>
              <w:rPr>
                <w:rFonts w:cs="Arial"/>
                <w:sz w:val="20"/>
              </w:rPr>
            </w:pPr>
            <w:r>
              <w:rPr>
                <w:rFonts w:cs="Arial"/>
                <w:sz w:val="20"/>
              </w:rPr>
              <w:t>40%</w:t>
            </w:r>
          </w:p>
          <w:p w14:paraId="198644AB" w14:textId="49CFA6F3" w:rsidR="00D331E2" w:rsidRDefault="00D331E2" w:rsidP="00541FCB">
            <w:pPr>
              <w:jc w:val="center"/>
              <w:rPr>
                <w:rFonts w:cs="Arial"/>
                <w:sz w:val="20"/>
              </w:rPr>
            </w:pPr>
            <w:r>
              <w:rPr>
                <w:rFonts w:cs="Arial"/>
                <w:sz w:val="20"/>
              </w:rPr>
              <w:t>(+/-5%)</w:t>
            </w:r>
          </w:p>
        </w:tc>
        <w:tc>
          <w:tcPr>
            <w:tcW w:w="0" w:type="auto"/>
          </w:tcPr>
          <w:p w14:paraId="2CAEC89A" w14:textId="195CD051" w:rsidR="00D331E2" w:rsidRDefault="00D331E2" w:rsidP="00735BF3">
            <w:pPr>
              <w:jc w:val="both"/>
              <w:rPr>
                <w:rFonts w:cs="Arial"/>
                <w:sz w:val="20"/>
              </w:rPr>
            </w:pPr>
            <w:r>
              <w:rPr>
                <w:rFonts w:cs="Arial"/>
                <w:sz w:val="20"/>
              </w:rPr>
              <w:t>Fidelity</w:t>
            </w:r>
          </w:p>
        </w:tc>
        <w:tc>
          <w:tcPr>
            <w:tcW w:w="0" w:type="auto"/>
          </w:tcPr>
          <w:p w14:paraId="4852769D" w14:textId="625C6FC4" w:rsidR="00D331E2" w:rsidRDefault="00D331E2" w:rsidP="00735BF3">
            <w:pPr>
              <w:jc w:val="both"/>
              <w:rPr>
                <w:rFonts w:cs="Arial"/>
                <w:sz w:val="20"/>
              </w:rPr>
            </w:pPr>
            <w:r>
              <w:rPr>
                <w:rFonts w:cs="Arial"/>
                <w:sz w:val="20"/>
              </w:rPr>
              <w:t>20%</w:t>
            </w:r>
          </w:p>
        </w:tc>
        <w:tc>
          <w:tcPr>
            <w:tcW w:w="0" w:type="auto"/>
            <w:vMerge w:val="restart"/>
          </w:tcPr>
          <w:p w14:paraId="5201574E" w14:textId="77777777" w:rsidR="00D331E2" w:rsidRDefault="00D331E2" w:rsidP="00735BF3">
            <w:pPr>
              <w:jc w:val="both"/>
              <w:rPr>
                <w:rFonts w:cs="Arial"/>
                <w:sz w:val="20"/>
              </w:rPr>
            </w:pPr>
          </w:p>
          <w:p w14:paraId="5F970E78" w14:textId="77777777" w:rsidR="00D331E2" w:rsidRDefault="00D331E2" w:rsidP="00735BF3">
            <w:pPr>
              <w:jc w:val="both"/>
              <w:rPr>
                <w:rFonts w:cs="Arial"/>
                <w:sz w:val="20"/>
              </w:rPr>
            </w:pPr>
          </w:p>
          <w:p w14:paraId="694476F0" w14:textId="187F1D63" w:rsidR="00D331E2" w:rsidRDefault="00D331E2" w:rsidP="00735BF3">
            <w:pPr>
              <w:jc w:val="both"/>
              <w:rPr>
                <w:rFonts w:cs="Arial"/>
                <w:sz w:val="20"/>
              </w:rPr>
            </w:pPr>
            <w:r>
              <w:rPr>
                <w:rFonts w:cs="Arial"/>
                <w:sz w:val="20"/>
              </w:rPr>
              <w:t>+/-3%</w:t>
            </w:r>
          </w:p>
          <w:p w14:paraId="1E9D477E" w14:textId="68CA448B" w:rsidR="00D331E2" w:rsidRDefault="00D331E2" w:rsidP="00631973">
            <w:pPr>
              <w:jc w:val="both"/>
              <w:rPr>
                <w:rFonts w:cs="Arial"/>
                <w:sz w:val="20"/>
              </w:rPr>
            </w:pPr>
          </w:p>
        </w:tc>
      </w:tr>
      <w:tr w:rsidR="00D331E2" w14:paraId="514BB89F" w14:textId="77777777" w:rsidTr="00A3044D">
        <w:trPr>
          <w:jc w:val="center"/>
        </w:trPr>
        <w:tc>
          <w:tcPr>
            <w:tcW w:w="0" w:type="auto"/>
            <w:vMerge/>
          </w:tcPr>
          <w:p w14:paraId="2CDCAF57" w14:textId="32D6CBC9" w:rsidR="00D331E2" w:rsidRDefault="00D331E2" w:rsidP="00735BF3">
            <w:pPr>
              <w:jc w:val="both"/>
              <w:rPr>
                <w:rFonts w:cs="Arial"/>
                <w:sz w:val="20"/>
              </w:rPr>
            </w:pPr>
          </w:p>
        </w:tc>
        <w:tc>
          <w:tcPr>
            <w:tcW w:w="0" w:type="auto"/>
          </w:tcPr>
          <w:p w14:paraId="4977DC2D" w14:textId="43FAEB7C" w:rsidR="00D331E2" w:rsidRDefault="00D331E2" w:rsidP="00735BF3">
            <w:pPr>
              <w:jc w:val="both"/>
              <w:rPr>
                <w:rFonts w:cs="Arial"/>
                <w:sz w:val="20"/>
              </w:rPr>
            </w:pPr>
            <w:r>
              <w:rPr>
                <w:rFonts w:cs="Arial"/>
                <w:sz w:val="20"/>
              </w:rPr>
              <w:t>Baillie Gifford Global Alpha</w:t>
            </w:r>
          </w:p>
        </w:tc>
        <w:tc>
          <w:tcPr>
            <w:tcW w:w="0" w:type="auto"/>
          </w:tcPr>
          <w:p w14:paraId="16467D4C" w14:textId="3D34869F" w:rsidR="00D331E2" w:rsidRDefault="00D331E2" w:rsidP="00735BF3">
            <w:pPr>
              <w:jc w:val="both"/>
              <w:rPr>
                <w:rFonts w:cs="Arial"/>
                <w:sz w:val="20"/>
              </w:rPr>
            </w:pPr>
            <w:r>
              <w:rPr>
                <w:rFonts w:cs="Arial"/>
                <w:sz w:val="20"/>
              </w:rPr>
              <w:t>17%</w:t>
            </w:r>
          </w:p>
        </w:tc>
        <w:tc>
          <w:tcPr>
            <w:tcW w:w="0" w:type="auto"/>
            <w:vMerge/>
          </w:tcPr>
          <w:p w14:paraId="29418302" w14:textId="7BFB7B1A" w:rsidR="00D331E2" w:rsidRDefault="00D331E2" w:rsidP="00631973">
            <w:pPr>
              <w:jc w:val="both"/>
              <w:rPr>
                <w:rFonts w:cs="Arial"/>
                <w:sz w:val="20"/>
              </w:rPr>
            </w:pPr>
          </w:p>
        </w:tc>
      </w:tr>
      <w:tr w:rsidR="00D331E2" w14:paraId="5597E2DF" w14:textId="77777777" w:rsidTr="00A3044D">
        <w:trPr>
          <w:jc w:val="center"/>
        </w:trPr>
        <w:tc>
          <w:tcPr>
            <w:tcW w:w="0" w:type="auto"/>
            <w:vMerge/>
          </w:tcPr>
          <w:p w14:paraId="0D426183" w14:textId="77777777" w:rsidR="00D331E2" w:rsidRDefault="00D331E2" w:rsidP="00735BF3">
            <w:pPr>
              <w:jc w:val="both"/>
              <w:rPr>
                <w:rFonts w:cs="Arial"/>
                <w:sz w:val="20"/>
              </w:rPr>
            </w:pPr>
          </w:p>
        </w:tc>
        <w:tc>
          <w:tcPr>
            <w:tcW w:w="0" w:type="auto"/>
          </w:tcPr>
          <w:p w14:paraId="60F67DE2" w14:textId="14249281" w:rsidR="00D331E2" w:rsidRDefault="00D331E2" w:rsidP="00735BF3">
            <w:pPr>
              <w:jc w:val="both"/>
              <w:rPr>
                <w:rFonts w:cs="Arial"/>
                <w:sz w:val="20"/>
              </w:rPr>
            </w:pPr>
            <w:r>
              <w:rPr>
                <w:rFonts w:cs="Arial"/>
                <w:sz w:val="20"/>
              </w:rPr>
              <w:t>Baillie Gifford UK Core</w:t>
            </w:r>
          </w:p>
        </w:tc>
        <w:tc>
          <w:tcPr>
            <w:tcW w:w="0" w:type="auto"/>
          </w:tcPr>
          <w:p w14:paraId="6B4823EF" w14:textId="39E836D3" w:rsidR="00D331E2" w:rsidRDefault="00D331E2" w:rsidP="00735BF3">
            <w:pPr>
              <w:jc w:val="both"/>
              <w:rPr>
                <w:rFonts w:cs="Arial"/>
                <w:sz w:val="20"/>
              </w:rPr>
            </w:pPr>
            <w:r>
              <w:rPr>
                <w:rFonts w:cs="Arial"/>
                <w:sz w:val="20"/>
              </w:rPr>
              <w:t>3%</w:t>
            </w:r>
          </w:p>
        </w:tc>
        <w:tc>
          <w:tcPr>
            <w:tcW w:w="0" w:type="auto"/>
            <w:vMerge/>
          </w:tcPr>
          <w:p w14:paraId="49978A0D" w14:textId="2EE54E01" w:rsidR="00D331E2" w:rsidRDefault="00D331E2" w:rsidP="00631973">
            <w:pPr>
              <w:jc w:val="both"/>
              <w:rPr>
                <w:rFonts w:cs="Arial"/>
                <w:sz w:val="20"/>
              </w:rPr>
            </w:pPr>
          </w:p>
        </w:tc>
      </w:tr>
      <w:tr w:rsidR="00D331E2" w14:paraId="7B554486" w14:textId="77777777" w:rsidTr="00A3044D">
        <w:trPr>
          <w:jc w:val="center"/>
        </w:trPr>
        <w:tc>
          <w:tcPr>
            <w:tcW w:w="0" w:type="auto"/>
          </w:tcPr>
          <w:p w14:paraId="7E2F6278" w14:textId="3B5F034E" w:rsidR="00D331E2" w:rsidRDefault="00D331E2" w:rsidP="00F95952">
            <w:pPr>
              <w:jc w:val="center"/>
              <w:rPr>
                <w:rFonts w:cs="Arial"/>
                <w:sz w:val="20"/>
              </w:rPr>
            </w:pPr>
            <w:r>
              <w:rPr>
                <w:rFonts w:cs="Arial"/>
                <w:sz w:val="20"/>
              </w:rPr>
              <w:t>Equities – Passive</w:t>
            </w:r>
          </w:p>
          <w:p w14:paraId="03E35FE4" w14:textId="366180C4" w:rsidR="00D331E2" w:rsidRDefault="00D331E2" w:rsidP="00F95952">
            <w:pPr>
              <w:jc w:val="center"/>
              <w:rPr>
                <w:rFonts w:cs="Arial"/>
                <w:sz w:val="20"/>
              </w:rPr>
            </w:pPr>
            <w:r>
              <w:rPr>
                <w:rFonts w:cs="Arial"/>
                <w:sz w:val="20"/>
              </w:rPr>
              <w:t>25%</w:t>
            </w:r>
          </w:p>
        </w:tc>
        <w:tc>
          <w:tcPr>
            <w:tcW w:w="0" w:type="auto"/>
          </w:tcPr>
          <w:p w14:paraId="45C4CAEA" w14:textId="4F3C78AA" w:rsidR="00D331E2" w:rsidRDefault="00D331E2" w:rsidP="00631973">
            <w:pPr>
              <w:jc w:val="both"/>
              <w:rPr>
                <w:rFonts w:cs="Arial"/>
                <w:sz w:val="20"/>
              </w:rPr>
            </w:pPr>
            <w:r>
              <w:rPr>
                <w:rFonts w:cs="Arial"/>
                <w:sz w:val="20"/>
              </w:rPr>
              <w:t>LGIM</w:t>
            </w:r>
          </w:p>
        </w:tc>
        <w:tc>
          <w:tcPr>
            <w:tcW w:w="0" w:type="auto"/>
          </w:tcPr>
          <w:p w14:paraId="29A93C37" w14:textId="2964A679" w:rsidR="00D331E2" w:rsidRDefault="00D331E2" w:rsidP="00631973">
            <w:pPr>
              <w:jc w:val="both"/>
              <w:rPr>
                <w:rFonts w:cs="Arial"/>
                <w:sz w:val="20"/>
              </w:rPr>
            </w:pPr>
            <w:r>
              <w:rPr>
                <w:rFonts w:cs="Arial"/>
                <w:sz w:val="20"/>
              </w:rPr>
              <w:t>25%</w:t>
            </w:r>
          </w:p>
        </w:tc>
        <w:tc>
          <w:tcPr>
            <w:tcW w:w="0" w:type="auto"/>
            <w:vMerge/>
          </w:tcPr>
          <w:p w14:paraId="5C77CF36" w14:textId="32A58805" w:rsidR="00D331E2" w:rsidRDefault="00D331E2" w:rsidP="00631973">
            <w:pPr>
              <w:jc w:val="both"/>
              <w:rPr>
                <w:rFonts w:cs="Arial"/>
                <w:sz w:val="20"/>
              </w:rPr>
            </w:pPr>
          </w:p>
        </w:tc>
      </w:tr>
      <w:tr w:rsidR="001B1293" w14:paraId="5E801BC9" w14:textId="77777777" w:rsidTr="00A3044D">
        <w:trPr>
          <w:jc w:val="center"/>
        </w:trPr>
        <w:tc>
          <w:tcPr>
            <w:tcW w:w="0" w:type="auto"/>
            <w:vMerge w:val="restart"/>
          </w:tcPr>
          <w:p w14:paraId="1F308C34" w14:textId="2261D615" w:rsidR="001B1293" w:rsidRDefault="001B1293" w:rsidP="00190616">
            <w:pPr>
              <w:jc w:val="center"/>
              <w:rPr>
                <w:rFonts w:cs="Arial"/>
                <w:sz w:val="20"/>
              </w:rPr>
            </w:pPr>
            <w:r>
              <w:rPr>
                <w:rFonts w:cs="Arial"/>
                <w:sz w:val="20"/>
              </w:rPr>
              <w:t>Fixed Income</w:t>
            </w:r>
          </w:p>
          <w:p w14:paraId="692AAF1A" w14:textId="07C156EE" w:rsidR="001B1293" w:rsidRDefault="001B1293" w:rsidP="00190616">
            <w:pPr>
              <w:jc w:val="center"/>
              <w:rPr>
                <w:rFonts w:cs="Arial"/>
                <w:sz w:val="20"/>
              </w:rPr>
            </w:pPr>
            <w:r>
              <w:rPr>
                <w:rFonts w:cs="Arial"/>
                <w:sz w:val="20"/>
              </w:rPr>
              <w:t>13%</w:t>
            </w:r>
          </w:p>
        </w:tc>
        <w:tc>
          <w:tcPr>
            <w:tcW w:w="0" w:type="auto"/>
          </w:tcPr>
          <w:p w14:paraId="200B1DAF" w14:textId="67B07951" w:rsidR="001B1293" w:rsidRDefault="001B1293" w:rsidP="00631973">
            <w:pPr>
              <w:jc w:val="both"/>
              <w:rPr>
                <w:rFonts w:cs="Arial"/>
                <w:sz w:val="20"/>
              </w:rPr>
            </w:pPr>
            <w:r>
              <w:rPr>
                <w:rFonts w:cs="Arial"/>
                <w:sz w:val="20"/>
              </w:rPr>
              <w:t>Fidelity</w:t>
            </w:r>
          </w:p>
        </w:tc>
        <w:tc>
          <w:tcPr>
            <w:tcW w:w="0" w:type="auto"/>
          </w:tcPr>
          <w:p w14:paraId="657E9884" w14:textId="1C8A8C2A" w:rsidR="001B1293" w:rsidRDefault="001B1293" w:rsidP="00631973">
            <w:pPr>
              <w:jc w:val="both"/>
              <w:rPr>
                <w:rFonts w:cs="Arial"/>
                <w:sz w:val="20"/>
              </w:rPr>
            </w:pPr>
            <w:r>
              <w:rPr>
                <w:rFonts w:cs="Arial"/>
                <w:sz w:val="20"/>
              </w:rPr>
              <w:t>9%</w:t>
            </w:r>
          </w:p>
        </w:tc>
        <w:tc>
          <w:tcPr>
            <w:tcW w:w="0" w:type="auto"/>
            <w:vMerge w:val="restart"/>
          </w:tcPr>
          <w:p w14:paraId="7DCD2AF4" w14:textId="77777777" w:rsidR="001B1293" w:rsidRDefault="001B1293" w:rsidP="00631973">
            <w:pPr>
              <w:jc w:val="both"/>
              <w:rPr>
                <w:rFonts w:cs="Arial"/>
                <w:sz w:val="20"/>
              </w:rPr>
            </w:pPr>
          </w:p>
          <w:p w14:paraId="54923E9E" w14:textId="147F96E9" w:rsidR="001B1293" w:rsidRDefault="001B1293" w:rsidP="00631973">
            <w:pPr>
              <w:jc w:val="both"/>
              <w:rPr>
                <w:rFonts w:cs="Arial"/>
                <w:sz w:val="20"/>
              </w:rPr>
            </w:pPr>
            <w:r>
              <w:rPr>
                <w:rFonts w:cs="Arial"/>
                <w:sz w:val="20"/>
              </w:rPr>
              <w:t>+/-3%</w:t>
            </w:r>
          </w:p>
          <w:p w14:paraId="44ADE6E8" w14:textId="22438CDC" w:rsidR="001B1293" w:rsidRDefault="001B1293" w:rsidP="00631973">
            <w:pPr>
              <w:jc w:val="both"/>
              <w:rPr>
                <w:rFonts w:cs="Arial"/>
                <w:sz w:val="20"/>
              </w:rPr>
            </w:pPr>
          </w:p>
        </w:tc>
      </w:tr>
      <w:tr w:rsidR="001B1293" w14:paraId="3AF30197" w14:textId="77777777" w:rsidTr="00A3044D">
        <w:trPr>
          <w:jc w:val="center"/>
        </w:trPr>
        <w:tc>
          <w:tcPr>
            <w:tcW w:w="0" w:type="auto"/>
            <w:vMerge/>
          </w:tcPr>
          <w:p w14:paraId="20D11095" w14:textId="77777777" w:rsidR="001B1293" w:rsidRDefault="001B1293" w:rsidP="00631973">
            <w:pPr>
              <w:jc w:val="both"/>
              <w:rPr>
                <w:rFonts w:cs="Arial"/>
                <w:sz w:val="20"/>
              </w:rPr>
            </w:pPr>
          </w:p>
        </w:tc>
        <w:tc>
          <w:tcPr>
            <w:tcW w:w="0" w:type="auto"/>
          </w:tcPr>
          <w:p w14:paraId="0F75EC4A" w14:textId="779F8B3E" w:rsidR="001B1293" w:rsidRDefault="001B1293" w:rsidP="00631973">
            <w:pPr>
              <w:jc w:val="both"/>
              <w:rPr>
                <w:rFonts w:cs="Arial"/>
                <w:sz w:val="20"/>
              </w:rPr>
            </w:pPr>
            <w:r>
              <w:rPr>
                <w:rFonts w:cs="Arial"/>
                <w:sz w:val="20"/>
              </w:rPr>
              <w:t>LGIM Buy &amp; Maintain</w:t>
            </w:r>
          </w:p>
        </w:tc>
        <w:tc>
          <w:tcPr>
            <w:tcW w:w="0" w:type="auto"/>
          </w:tcPr>
          <w:p w14:paraId="39F6834A" w14:textId="5EC25BB0" w:rsidR="001B1293" w:rsidRDefault="001B1293" w:rsidP="00631973">
            <w:pPr>
              <w:jc w:val="both"/>
              <w:rPr>
                <w:rFonts w:cs="Arial"/>
                <w:sz w:val="20"/>
              </w:rPr>
            </w:pPr>
            <w:r>
              <w:rPr>
                <w:rFonts w:cs="Arial"/>
                <w:sz w:val="20"/>
              </w:rPr>
              <w:t>2%</w:t>
            </w:r>
          </w:p>
        </w:tc>
        <w:tc>
          <w:tcPr>
            <w:tcW w:w="0" w:type="auto"/>
            <w:vMerge/>
          </w:tcPr>
          <w:p w14:paraId="41176E65" w14:textId="177D02B9" w:rsidR="001B1293" w:rsidRDefault="001B1293" w:rsidP="00631973">
            <w:pPr>
              <w:jc w:val="both"/>
              <w:rPr>
                <w:rFonts w:cs="Arial"/>
                <w:sz w:val="20"/>
              </w:rPr>
            </w:pPr>
          </w:p>
        </w:tc>
      </w:tr>
      <w:tr w:rsidR="001B1293" w14:paraId="22D46C28" w14:textId="77777777" w:rsidTr="00A3044D">
        <w:trPr>
          <w:jc w:val="center"/>
        </w:trPr>
        <w:tc>
          <w:tcPr>
            <w:tcW w:w="0" w:type="auto"/>
            <w:vMerge/>
          </w:tcPr>
          <w:p w14:paraId="47D1804C" w14:textId="77777777" w:rsidR="001B1293" w:rsidRDefault="001B1293" w:rsidP="00631973">
            <w:pPr>
              <w:jc w:val="both"/>
              <w:rPr>
                <w:rFonts w:cs="Arial"/>
                <w:sz w:val="20"/>
              </w:rPr>
            </w:pPr>
          </w:p>
        </w:tc>
        <w:tc>
          <w:tcPr>
            <w:tcW w:w="0" w:type="auto"/>
          </w:tcPr>
          <w:p w14:paraId="4B33CB3C" w14:textId="409DB94F" w:rsidR="001B1293" w:rsidRDefault="001B1293" w:rsidP="00631973">
            <w:pPr>
              <w:jc w:val="both"/>
              <w:rPr>
                <w:rFonts w:cs="Arial"/>
                <w:sz w:val="20"/>
              </w:rPr>
            </w:pPr>
            <w:r>
              <w:rPr>
                <w:rFonts w:cs="Arial"/>
                <w:sz w:val="20"/>
              </w:rPr>
              <w:t>Apollo Multi-Asset Credit</w:t>
            </w:r>
          </w:p>
        </w:tc>
        <w:tc>
          <w:tcPr>
            <w:tcW w:w="0" w:type="auto"/>
          </w:tcPr>
          <w:p w14:paraId="1D089EA8" w14:textId="31FEBB2A" w:rsidR="001B1293" w:rsidRDefault="001B1293" w:rsidP="00631973">
            <w:pPr>
              <w:jc w:val="both"/>
              <w:rPr>
                <w:rFonts w:cs="Arial"/>
                <w:sz w:val="20"/>
              </w:rPr>
            </w:pPr>
            <w:r>
              <w:rPr>
                <w:rFonts w:cs="Arial"/>
                <w:sz w:val="20"/>
              </w:rPr>
              <w:t>2%</w:t>
            </w:r>
          </w:p>
        </w:tc>
        <w:tc>
          <w:tcPr>
            <w:tcW w:w="0" w:type="auto"/>
            <w:vMerge/>
          </w:tcPr>
          <w:p w14:paraId="6EBB4F0C" w14:textId="38B10A67" w:rsidR="001B1293" w:rsidRDefault="001B1293" w:rsidP="00631973">
            <w:pPr>
              <w:jc w:val="both"/>
              <w:rPr>
                <w:rFonts w:cs="Arial"/>
                <w:sz w:val="20"/>
              </w:rPr>
            </w:pPr>
          </w:p>
        </w:tc>
      </w:tr>
      <w:tr w:rsidR="00BE38BD" w14:paraId="5AFA38FC" w14:textId="77777777" w:rsidTr="00A3044D">
        <w:trPr>
          <w:jc w:val="center"/>
        </w:trPr>
        <w:tc>
          <w:tcPr>
            <w:tcW w:w="0" w:type="auto"/>
          </w:tcPr>
          <w:p w14:paraId="2F0B4AA5" w14:textId="77777777" w:rsidR="00BE38BD" w:rsidRDefault="00BE38BD" w:rsidP="00190616">
            <w:pPr>
              <w:jc w:val="center"/>
              <w:rPr>
                <w:rFonts w:cs="Arial"/>
                <w:sz w:val="20"/>
              </w:rPr>
            </w:pPr>
            <w:r>
              <w:rPr>
                <w:rFonts w:cs="Arial"/>
                <w:sz w:val="20"/>
              </w:rPr>
              <w:t>Property</w:t>
            </w:r>
          </w:p>
          <w:p w14:paraId="08E0A900" w14:textId="38738D39" w:rsidR="00190616" w:rsidRDefault="00190616" w:rsidP="00190616">
            <w:pPr>
              <w:jc w:val="center"/>
              <w:rPr>
                <w:rFonts w:cs="Arial"/>
                <w:sz w:val="20"/>
              </w:rPr>
            </w:pPr>
            <w:r>
              <w:rPr>
                <w:rFonts w:cs="Arial"/>
                <w:sz w:val="20"/>
              </w:rPr>
              <w:t>12%</w:t>
            </w:r>
          </w:p>
        </w:tc>
        <w:tc>
          <w:tcPr>
            <w:tcW w:w="0" w:type="auto"/>
          </w:tcPr>
          <w:p w14:paraId="2DC00DC3" w14:textId="3BCF394F" w:rsidR="00BE38BD" w:rsidRDefault="00BE38BD" w:rsidP="00631973">
            <w:pPr>
              <w:jc w:val="both"/>
              <w:rPr>
                <w:rFonts w:cs="Arial"/>
                <w:sz w:val="20"/>
              </w:rPr>
            </w:pPr>
            <w:r>
              <w:rPr>
                <w:rFonts w:cs="Arial"/>
                <w:sz w:val="20"/>
              </w:rPr>
              <w:t>Schroders</w:t>
            </w:r>
          </w:p>
        </w:tc>
        <w:tc>
          <w:tcPr>
            <w:tcW w:w="0" w:type="auto"/>
          </w:tcPr>
          <w:p w14:paraId="3BDCC47D" w14:textId="6BAFD919" w:rsidR="00BE38BD" w:rsidRDefault="008A4F03" w:rsidP="00631973">
            <w:pPr>
              <w:jc w:val="both"/>
              <w:rPr>
                <w:rFonts w:cs="Arial"/>
                <w:sz w:val="20"/>
              </w:rPr>
            </w:pPr>
            <w:r>
              <w:rPr>
                <w:rFonts w:cs="Arial"/>
                <w:sz w:val="20"/>
              </w:rPr>
              <w:t>12%</w:t>
            </w:r>
          </w:p>
        </w:tc>
        <w:tc>
          <w:tcPr>
            <w:tcW w:w="0" w:type="auto"/>
          </w:tcPr>
          <w:p w14:paraId="1F6AB04D" w14:textId="4DCE1462" w:rsidR="00BE38BD" w:rsidRDefault="00B56DC9" w:rsidP="00631973">
            <w:pPr>
              <w:jc w:val="both"/>
              <w:rPr>
                <w:rFonts w:cs="Arial"/>
                <w:sz w:val="20"/>
              </w:rPr>
            </w:pPr>
            <w:r>
              <w:rPr>
                <w:rFonts w:cs="Arial"/>
                <w:sz w:val="20"/>
              </w:rPr>
              <w:t>+/-5%</w:t>
            </w:r>
          </w:p>
        </w:tc>
      </w:tr>
      <w:tr w:rsidR="001B1293" w14:paraId="162DACC8" w14:textId="77777777" w:rsidTr="00A3044D">
        <w:trPr>
          <w:jc w:val="center"/>
        </w:trPr>
        <w:tc>
          <w:tcPr>
            <w:tcW w:w="0" w:type="auto"/>
            <w:vMerge w:val="restart"/>
          </w:tcPr>
          <w:p w14:paraId="74890A68" w14:textId="77777777" w:rsidR="001B1293" w:rsidRDefault="001B1293" w:rsidP="00190616">
            <w:pPr>
              <w:jc w:val="center"/>
              <w:rPr>
                <w:rFonts w:cs="Arial"/>
                <w:sz w:val="20"/>
              </w:rPr>
            </w:pPr>
            <w:r>
              <w:rPr>
                <w:rFonts w:cs="Arial"/>
                <w:sz w:val="20"/>
              </w:rPr>
              <w:t>Alternatives</w:t>
            </w:r>
          </w:p>
          <w:p w14:paraId="041CFE6D" w14:textId="7E507B98" w:rsidR="001B1293" w:rsidRDefault="001B1293" w:rsidP="00190616">
            <w:pPr>
              <w:jc w:val="center"/>
              <w:rPr>
                <w:rFonts w:cs="Arial"/>
                <w:sz w:val="20"/>
              </w:rPr>
            </w:pPr>
            <w:r>
              <w:rPr>
                <w:rFonts w:cs="Arial"/>
                <w:sz w:val="20"/>
              </w:rPr>
              <w:t>10%</w:t>
            </w:r>
          </w:p>
        </w:tc>
        <w:tc>
          <w:tcPr>
            <w:tcW w:w="0" w:type="auto"/>
          </w:tcPr>
          <w:p w14:paraId="67595A16" w14:textId="29938F87" w:rsidR="001B1293" w:rsidRDefault="001B1293" w:rsidP="00631973">
            <w:pPr>
              <w:jc w:val="both"/>
              <w:rPr>
                <w:rFonts w:cs="Arial"/>
                <w:sz w:val="20"/>
              </w:rPr>
            </w:pPr>
            <w:r>
              <w:rPr>
                <w:rFonts w:cs="Arial"/>
                <w:sz w:val="20"/>
              </w:rPr>
              <w:t>Partners Group</w:t>
            </w:r>
          </w:p>
        </w:tc>
        <w:tc>
          <w:tcPr>
            <w:tcW w:w="0" w:type="auto"/>
          </w:tcPr>
          <w:p w14:paraId="69E1EA90" w14:textId="48301858" w:rsidR="001B1293" w:rsidRDefault="001B1293" w:rsidP="00631973">
            <w:pPr>
              <w:jc w:val="both"/>
              <w:rPr>
                <w:rFonts w:cs="Arial"/>
                <w:sz w:val="20"/>
              </w:rPr>
            </w:pPr>
            <w:r>
              <w:rPr>
                <w:rFonts w:cs="Arial"/>
                <w:sz w:val="20"/>
              </w:rPr>
              <w:t>5%</w:t>
            </w:r>
          </w:p>
        </w:tc>
        <w:tc>
          <w:tcPr>
            <w:tcW w:w="0" w:type="auto"/>
            <w:vMerge w:val="restart"/>
          </w:tcPr>
          <w:p w14:paraId="1AF077B9" w14:textId="74BE88F6" w:rsidR="001B1293" w:rsidRDefault="001B1293" w:rsidP="00631973">
            <w:pPr>
              <w:jc w:val="both"/>
              <w:rPr>
                <w:rFonts w:cs="Arial"/>
                <w:sz w:val="20"/>
              </w:rPr>
            </w:pPr>
            <w:r>
              <w:rPr>
                <w:rFonts w:cs="Arial"/>
                <w:sz w:val="20"/>
              </w:rPr>
              <w:t>+/-5%</w:t>
            </w:r>
          </w:p>
        </w:tc>
      </w:tr>
      <w:tr w:rsidR="001B1293" w14:paraId="10914142" w14:textId="77777777" w:rsidTr="00A3044D">
        <w:trPr>
          <w:jc w:val="center"/>
        </w:trPr>
        <w:tc>
          <w:tcPr>
            <w:tcW w:w="0" w:type="auto"/>
            <w:vMerge/>
          </w:tcPr>
          <w:p w14:paraId="37697523" w14:textId="77777777" w:rsidR="001B1293" w:rsidRDefault="001B1293" w:rsidP="00190616">
            <w:pPr>
              <w:jc w:val="center"/>
              <w:rPr>
                <w:rFonts w:cs="Arial"/>
                <w:sz w:val="20"/>
              </w:rPr>
            </w:pPr>
          </w:p>
        </w:tc>
        <w:tc>
          <w:tcPr>
            <w:tcW w:w="0" w:type="auto"/>
          </w:tcPr>
          <w:p w14:paraId="63BF9BBA" w14:textId="53B8F7C2" w:rsidR="001B1293" w:rsidRDefault="001B1293" w:rsidP="00631973">
            <w:pPr>
              <w:jc w:val="both"/>
              <w:rPr>
                <w:rFonts w:cs="Arial"/>
                <w:sz w:val="20"/>
              </w:rPr>
            </w:pPr>
            <w:r>
              <w:rPr>
                <w:rFonts w:cs="Arial"/>
                <w:sz w:val="20"/>
              </w:rPr>
              <w:t>To be allocated</w:t>
            </w:r>
          </w:p>
        </w:tc>
        <w:tc>
          <w:tcPr>
            <w:tcW w:w="0" w:type="auto"/>
          </w:tcPr>
          <w:p w14:paraId="48C60A82" w14:textId="0F75F2B8" w:rsidR="001B1293" w:rsidRDefault="001B1293" w:rsidP="00631973">
            <w:pPr>
              <w:jc w:val="both"/>
              <w:rPr>
                <w:rFonts w:cs="Arial"/>
                <w:sz w:val="20"/>
              </w:rPr>
            </w:pPr>
            <w:r>
              <w:rPr>
                <w:rFonts w:cs="Arial"/>
                <w:sz w:val="20"/>
              </w:rPr>
              <w:t>5%</w:t>
            </w:r>
          </w:p>
        </w:tc>
        <w:tc>
          <w:tcPr>
            <w:tcW w:w="0" w:type="auto"/>
            <w:vMerge/>
          </w:tcPr>
          <w:p w14:paraId="708DF231" w14:textId="77777777" w:rsidR="001B1293" w:rsidRDefault="001B1293" w:rsidP="00631973">
            <w:pPr>
              <w:jc w:val="both"/>
              <w:rPr>
                <w:rFonts w:cs="Arial"/>
                <w:sz w:val="20"/>
              </w:rPr>
            </w:pPr>
          </w:p>
        </w:tc>
      </w:tr>
    </w:tbl>
    <w:p w14:paraId="1E43B7FE" w14:textId="77777777" w:rsidR="00771864" w:rsidRDefault="00771864" w:rsidP="00735BF3">
      <w:pPr>
        <w:jc w:val="both"/>
        <w:rPr>
          <w:rFonts w:cs="Arial"/>
          <w:sz w:val="20"/>
        </w:rPr>
      </w:pPr>
    </w:p>
    <w:p w14:paraId="7A1E794E" w14:textId="5FEB9B19" w:rsidR="00735BF3" w:rsidRDefault="008B3416" w:rsidP="00735BF3">
      <w:pPr>
        <w:jc w:val="both"/>
        <w:rPr>
          <w:rFonts w:cs="Arial"/>
          <w:sz w:val="20"/>
        </w:rPr>
      </w:pPr>
      <w:r w:rsidRPr="008B3416">
        <w:rPr>
          <w:rFonts w:cs="Arial"/>
          <w:sz w:val="20"/>
        </w:rPr>
        <w:t>Officers monitor the Fund’s asset allocation at least quarterly to identify any significant drift from the strategic targets.</w:t>
      </w:r>
      <w:r>
        <w:rPr>
          <w:rFonts w:cs="Arial"/>
          <w:sz w:val="20"/>
        </w:rPr>
        <w:t xml:space="preserve"> </w:t>
      </w:r>
      <w:r w:rsidR="00735BF3" w:rsidRPr="00735BF3">
        <w:rPr>
          <w:rFonts w:cs="Arial"/>
          <w:sz w:val="20"/>
        </w:rPr>
        <w:t>In the event of a breach of either an individual portfolio or an asset class, the processes</w:t>
      </w:r>
      <w:r w:rsidR="00771864">
        <w:rPr>
          <w:rFonts w:cs="Arial"/>
          <w:sz w:val="20"/>
        </w:rPr>
        <w:t xml:space="preserve"> are </w:t>
      </w:r>
      <w:r w:rsidR="00735BF3" w:rsidRPr="00735BF3">
        <w:rPr>
          <w:rFonts w:cs="Arial"/>
          <w:sz w:val="20"/>
        </w:rPr>
        <w:t>detailed below:</w:t>
      </w:r>
    </w:p>
    <w:p w14:paraId="6FC502D9" w14:textId="77777777" w:rsidR="00717495" w:rsidRDefault="00717495" w:rsidP="00735BF3">
      <w:pPr>
        <w:jc w:val="both"/>
        <w:rPr>
          <w:rFonts w:cs="Arial"/>
          <w:sz w:val="20"/>
        </w:rPr>
      </w:pPr>
    </w:p>
    <w:p w14:paraId="6D0B3EC6" w14:textId="49DD0241" w:rsidR="00717495" w:rsidRDefault="00717495" w:rsidP="000522F1">
      <w:pPr>
        <w:pStyle w:val="ListParagraph"/>
        <w:numPr>
          <w:ilvl w:val="0"/>
          <w:numId w:val="35"/>
        </w:numPr>
        <w:jc w:val="both"/>
        <w:rPr>
          <w:rFonts w:cs="Arial"/>
          <w:b/>
          <w:bCs/>
          <w:sz w:val="20"/>
        </w:rPr>
      </w:pPr>
      <w:r w:rsidRPr="000522F1">
        <w:rPr>
          <w:rFonts w:cs="Arial"/>
          <w:b/>
          <w:bCs/>
          <w:sz w:val="20"/>
        </w:rPr>
        <w:t>Li</w:t>
      </w:r>
      <w:r w:rsidR="000522F1" w:rsidRPr="000522F1">
        <w:rPr>
          <w:rFonts w:cs="Arial"/>
          <w:b/>
          <w:bCs/>
          <w:sz w:val="20"/>
        </w:rPr>
        <w:t>quid Assets</w:t>
      </w:r>
    </w:p>
    <w:p w14:paraId="5E6C2B9A" w14:textId="77777777" w:rsidR="003461FC" w:rsidRDefault="003461FC" w:rsidP="003461FC">
      <w:pPr>
        <w:jc w:val="both"/>
        <w:rPr>
          <w:rFonts w:cs="Arial"/>
          <w:b/>
          <w:bCs/>
          <w:sz w:val="20"/>
        </w:rPr>
      </w:pPr>
    </w:p>
    <w:p w14:paraId="32A9F91F" w14:textId="6238E458" w:rsidR="00B75356" w:rsidRDefault="008B3416" w:rsidP="00B75356">
      <w:pPr>
        <w:jc w:val="both"/>
        <w:rPr>
          <w:rFonts w:cs="Arial"/>
          <w:sz w:val="20"/>
        </w:rPr>
      </w:pPr>
      <w:r w:rsidRPr="008B3416">
        <w:rPr>
          <w:rFonts w:cs="Arial"/>
          <w:sz w:val="20"/>
        </w:rPr>
        <w:t>The equity allocation is reviewed first. If it falls outside the 6</w:t>
      </w:r>
      <w:r>
        <w:rPr>
          <w:rFonts w:cs="Arial"/>
          <w:sz w:val="20"/>
        </w:rPr>
        <w:t>0</w:t>
      </w:r>
      <w:r w:rsidRPr="008B3416">
        <w:rPr>
          <w:rFonts w:cs="Arial"/>
          <w:sz w:val="20"/>
        </w:rPr>
        <w:t>%–7</w:t>
      </w:r>
      <w:r>
        <w:rPr>
          <w:rFonts w:cs="Arial"/>
          <w:sz w:val="20"/>
        </w:rPr>
        <w:t>0</w:t>
      </w:r>
      <w:r w:rsidRPr="008B3416">
        <w:rPr>
          <w:rFonts w:cs="Arial"/>
          <w:sz w:val="20"/>
        </w:rPr>
        <w:t xml:space="preserve">% range, action must be taken to return it to the central target of </w:t>
      </w:r>
      <w:r>
        <w:rPr>
          <w:rFonts w:cs="Arial"/>
          <w:sz w:val="20"/>
        </w:rPr>
        <w:t>65</w:t>
      </w:r>
      <w:r w:rsidRPr="008B3416">
        <w:rPr>
          <w:rFonts w:cs="Arial"/>
          <w:sz w:val="20"/>
        </w:rPr>
        <w:t>%.</w:t>
      </w:r>
      <w:r>
        <w:rPr>
          <w:rFonts w:cs="Arial"/>
          <w:sz w:val="20"/>
        </w:rPr>
        <w:t xml:space="preserve">  </w:t>
      </w:r>
      <w:r w:rsidRPr="008B3416">
        <w:rPr>
          <w:rFonts w:cs="Arial"/>
          <w:sz w:val="20"/>
        </w:rPr>
        <w:t>This is done by adjusting holdings with the most significant over- or underweight positions, starting with the most misaligned equity manager and moving to the next as needed.</w:t>
      </w:r>
      <w:r w:rsidR="00223BFF">
        <w:rPr>
          <w:rFonts w:cs="Arial"/>
          <w:sz w:val="20"/>
        </w:rPr>
        <w:t xml:space="preserve"> </w:t>
      </w:r>
      <w:r w:rsidRPr="008B3416">
        <w:rPr>
          <w:rFonts w:cs="Arial"/>
          <w:sz w:val="20"/>
        </w:rPr>
        <w:t xml:space="preserve">If equities are sold, proceeds should be directed to cash </w:t>
      </w:r>
      <w:r w:rsidR="00223BFF">
        <w:rPr>
          <w:rFonts w:cs="Arial"/>
          <w:sz w:val="20"/>
        </w:rPr>
        <w:t xml:space="preserve">(to pay benefits), </w:t>
      </w:r>
      <w:r w:rsidRPr="008B3416">
        <w:rPr>
          <w:rFonts w:cs="Arial"/>
          <w:sz w:val="20"/>
        </w:rPr>
        <w:t>or to the most underweight illiquid asset class, provided it is practical to increase that allocation.</w:t>
      </w:r>
      <w:r w:rsidR="00143EFB">
        <w:rPr>
          <w:rFonts w:cs="Arial"/>
          <w:sz w:val="20"/>
        </w:rPr>
        <w:t xml:space="preserve">  </w:t>
      </w:r>
      <w:r w:rsidRPr="008B3416">
        <w:rPr>
          <w:rFonts w:cs="Arial"/>
          <w:sz w:val="20"/>
        </w:rPr>
        <w:t xml:space="preserve">If </w:t>
      </w:r>
      <w:r w:rsidR="00D21F01">
        <w:rPr>
          <w:rFonts w:cs="Arial"/>
          <w:sz w:val="20"/>
        </w:rPr>
        <w:t xml:space="preserve">it is </w:t>
      </w:r>
      <w:r w:rsidRPr="008B3416">
        <w:rPr>
          <w:rFonts w:cs="Arial"/>
          <w:sz w:val="20"/>
        </w:rPr>
        <w:t xml:space="preserve">equities </w:t>
      </w:r>
      <w:r w:rsidR="00D21F01">
        <w:rPr>
          <w:rFonts w:cs="Arial"/>
          <w:sz w:val="20"/>
        </w:rPr>
        <w:t xml:space="preserve">that </w:t>
      </w:r>
      <w:r w:rsidRPr="008B3416">
        <w:rPr>
          <w:rFonts w:cs="Arial"/>
          <w:sz w:val="20"/>
        </w:rPr>
        <w:t>are underweight, funding should come from available cash or from liquidating assets in an illiquid class that can be easily realised.</w:t>
      </w:r>
      <w:r w:rsidR="00B75356" w:rsidRPr="00B75356">
        <w:rPr>
          <w:rFonts w:cs="Arial"/>
          <w:sz w:val="20"/>
        </w:rPr>
        <w:t xml:space="preserve"> </w:t>
      </w:r>
      <w:r w:rsidR="00B75356" w:rsidRPr="008B3416">
        <w:rPr>
          <w:rFonts w:cs="Arial"/>
          <w:sz w:val="20"/>
        </w:rPr>
        <w:t>In rare cases, rebalancing may not be carried out</w:t>
      </w:r>
      <w:r w:rsidR="00B75356">
        <w:rPr>
          <w:rFonts w:cs="Arial"/>
          <w:sz w:val="20"/>
        </w:rPr>
        <w:t xml:space="preserve">, </w:t>
      </w:r>
      <w:r w:rsidR="00B75356" w:rsidRPr="008B3416">
        <w:rPr>
          <w:rFonts w:cs="Arial"/>
          <w:sz w:val="20"/>
        </w:rPr>
        <w:t>for example, if no suitable alternatives are available.</w:t>
      </w:r>
      <w:r w:rsidR="00B75356">
        <w:rPr>
          <w:rFonts w:cs="Arial"/>
          <w:sz w:val="20"/>
        </w:rPr>
        <w:t xml:space="preserve"> </w:t>
      </w:r>
      <w:r w:rsidR="00B75356" w:rsidRPr="008B3416">
        <w:rPr>
          <w:rFonts w:cs="Arial"/>
          <w:sz w:val="20"/>
        </w:rPr>
        <w:t xml:space="preserve">Holding additional cash is allowed but only </w:t>
      </w:r>
      <w:r w:rsidR="00B75356">
        <w:rPr>
          <w:rFonts w:cs="Arial"/>
          <w:sz w:val="20"/>
        </w:rPr>
        <w:t>if necessary</w:t>
      </w:r>
      <w:r w:rsidR="00B75356" w:rsidRPr="008B3416">
        <w:rPr>
          <w:rFonts w:cs="Arial"/>
          <w:sz w:val="20"/>
        </w:rPr>
        <w:t>.</w:t>
      </w:r>
      <w:r w:rsidR="00EF0221">
        <w:rPr>
          <w:rFonts w:cs="Arial"/>
          <w:sz w:val="20"/>
        </w:rPr>
        <w:t xml:space="preserve"> </w:t>
      </w:r>
      <w:r w:rsidR="00EF0221" w:rsidRPr="008B3416">
        <w:rPr>
          <w:rFonts w:cs="Arial"/>
          <w:sz w:val="20"/>
        </w:rPr>
        <w:t>Any rebalancing activit</w:t>
      </w:r>
      <w:r w:rsidR="00EF0221">
        <w:rPr>
          <w:rFonts w:cs="Arial"/>
          <w:sz w:val="20"/>
        </w:rPr>
        <w:t xml:space="preserve">ies </w:t>
      </w:r>
      <w:r w:rsidR="00EF0221" w:rsidRPr="008B3416">
        <w:rPr>
          <w:rFonts w:cs="Arial"/>
          <w:sz w:val="20"/>
        </w:rPr>
        <w:t xml:space="preserve">will be reported at the next </w:t>
      </w:r>
      <w:r w:rsidR="00EF0221">
        <w:rPr>
          <w:rFonts w:cs="Arial"/>
          <w:sz w:val="20"/>
        </w:rPr>
        <w:t xml:space="preserve">quarterly </w:t>
      </w:r>
      <w:r w:rsidR="00EF0221" w:rsidRPr="008B3416">
        <w:rPr>
          <w:rFonts w:cs="Arial"/>
          <w:sz w:val="20"/>
        </w:rPr>
        <w:t>meeting.</w:t>
      </w:r>
    </w:p>
    <w:p w14:paraId="6AE7BCDF" w14:textId="77777777" w:rsidR="00D63D26" w:rsidRDefault="00D63D26" w:rsidP="00B75356">
      <w:pPr>
        <w:jc w:val="both"/>
        <w:rPr>
          <w:rFonts w:cs="Arial"/>
          <w:sz w:val="20"/>
        </w:rPr>
      </w:pPr>
    </w:p>
    <w:p w14:paraId="26CC5F2A" w14:textId="0A0EDC7B" w:rsidR="00D63D26" w:rsidRPr="008B3416" w:rsidRDefault="00D63D26" w:rsidP="00402A7E">
      <w:pPr>
        <w:jc w:val="both"/>
        <w:rPr>
          <w:rFonts w:cs="Arial"/>
          <w:sz w:val="20"/>
        </w:rPr>
      </w:pPr>
      <w:r w:rsidRPr="00D63D26">
        <w:rPr>
          <w:rFonts w:cs="Arial"/>
          <w:sz w:val="20"/>
        </w:rPr>
        <w:t xml:space="preserve">The Fund has </w:t>
      </w:r>
      <w:r>
        <w:rPr>
          <w:rFonts w:cs="Arial"/>
          <w:sz w:val="20"/>
        </w:rPr>
        <w:t xml:space="preserve">a </w:t>
      </w:r>
      <w:r w:rsidR="00D87E88">
        <w:rPr>
          <w:rFonts w:cs="Arial"/>
          <w:sz w:val="20"/>
        </w:rPr>
        <w:t>proportion of fixed income</w:t>
      </w:r>
      <w:r w:rsidRPr="00D63D26">
        <w:rPr>
          <w:rFonts w:cs="Arial"/>
          <w:sz w:val="20"/>
        </w:rPr>
        <w:t xml:space="preserve"> to hold until maturity, and therefore no sell trigger is set.</w:t>
      </w:r>
      <w:r w:rsidR="00D87E88">
        <w:rPr>
          <w:rFonts w:cs="Arial"/>
          <w:sz w:val="20"/>
        </w:rPr>
        <w:t xml:space="preserve">  </w:t>
      </w:r>
      <w:r w:rsidRPr="00D63D26">
        <w:rPr>
          <w:rFonts w:cs="Arial"/>
          <w:sz w:val="20"/>
        </w:rPr>
        <w:t xml:space="preserve">A breach of </w:t>
      </w:r>
      <w:r w:rsidRPr="00D63D26">
        <w:rPr>
          <w:rFonts w:ascii="Cambria Math" w:hAnsi="Cambria Math" w:cs="Cambria Math"/>
          <w:sz w:val="20"/>
        </w:rPr>
        <w:t>‐</w:t>
      </w:r>
      <w:r w:rsidRPr="00D63D26">
        <w:rPr>
          <w:rFonts w:cs="Arial"/>
          <w:sz w:val="20"/>
        </w:rPr>
        <w:t xml:space="preserve">3% will trigger </w:t>
      </w:r>
      <w:r w:rsidR="00FC2430">
        <w:rPr>
          <w:rFonts w:cs="Arial"/>
          <w:sz w:val="20"/>
        </w:rPr>
        <w:t>review</w:t>
      </w:r>
      <w:r w:rsidR="00402A7E">
        <w:rPr>
          <w:rFonts w:cs="Arial"/>
          <w:sz w:val="20"/>
        </w:rPr>
        <w:t xml:space="preserve"> and </w:t>
      </w:r>
      <w:r w:rsidRPr="00D63D26">
        <w:rPr>
          <w:rFonts w:cs="Arial"/>
          <w:sz w:val="20"/>
        </w:rPr>
        <w:t>rebalanc</w:t>
      </w:r>
      <w:r w:rsidR="00402A7E">
        <w:rPr>
          <w:rFonts w:cs="Arial"/>
          <w:sz w:val="20"/>
        </w:rPr>
        <w:t>e.</w:t>
      </w:r>
      <w:r w:rsidRPr="00D63D26">
        <w:rPr>
          <w:rFonts w:cs="Arial"/>
          <w:sz w:val="20"/>
        </w:rPr>
        <w:t xml:space="preserve"> </w:t>
      </w:r>
    </w:p>
    <w:p w14:paraId="171AE66F" w14:textId="3DC6EB69" w:rsidR="008B3416" w:rsidRDefault="008B3416" w:rsidP="008B3416">
      <w:pPr>
        <w:jc w:val="both"/>
        <w:rPr>
          <w:rFonts w:cs="Arial"/>
          <w:sz w:val="20"/>
        </w:rPr>
      </w:pPr>
    </w:p>
    <w:p w14:paraId="4E65DA54" w14:textId="59BE627D" w:rsidR="008B3416" w:rsidRPr="00EF0221" w:rsidRDefault="00EF0221" w:rsidP="00EF0221">
      <w:pPr>
        <w:pStyle w:val="ListParagraph"/>
        <w:numPr>
          <w:ilvl w:val="0"/>
          <w:numId w:val="35"/>
        </w:numPr>
        <w:jc w:val="both"/>
        <w:rPr>
          <w:rFonts w:cs="Arial"/>
          <w:b/>
          <w:bCs/>
          <w:sz w:val="20"/>
        </w:rPr>
      </w:pPr>
      <w:r w:rsidRPr="00EF0221">
        <w:rPr>
          <w:rFonts w:cs="Arial"/>
          <w:b/>
          <w:bCs/>
          <w:sz w:val="20"/>
        </w:rPr>
        <w:t>Illiquid Assets</w:t>
      </w:r>
    </w:p>
    <w:p w14:paraId="5B736810" w14:textId="77777777" w:rsidR="008B3416" w:rsidRPr="008B3416" w:rsidRDefault="008B3416" w:rsidP="008B3416">
      <w:pPr>
        <w:jc w:val="both"/>
        <w:rPr>
          <w:rFonts w:cs="Arial"/>
          <w:sz w:val="20"/>
        </w:rPr>
      </w:pPr>
    </w:p>
    <w:p w14:paraId="6E7A6A3D" w14:textId="6C107CFD" w:rsidR="009A25B1" w:rsidRDefault="009A25B1" w:rsidP="009A25B1">
      <w:pPr>
        <w:jc w:val="both"/>
        <w:rPr>
          <w:rFonts w:cs="Arial"/>
          <w:sz w:val="20"/>
        </w:rPr>
      </w:pPr>
      <w:r w:rsidRPr="009A25B1">
        <w:rPr>
          <w:rFonts w:cs="Arial"/>
          <w:sz w:val="20"/>
        </w:rPr>
        <w:t>If the property review range is triggered due to a fall in market value, the Fund will</w:t>
      </w:r>
      <w:r w:rsidR="00E62B55">
        <w:rPr>
          <w:rFonts w:cs="Arial"/>
          <w:sz w:val="20"/>
        </w:rPr>
        <w:t xml:space="preserve"> </w:t>
      </w:r>
      <w:r w:rsidRPr="009A25B1">
        <w:rPr>
          <w:rFonts w:cs="Arial"/>
          <w:sz w:val="20"/>
        </w:rPr>
        <w:t>consider increasing commitments and acquiring further property.  In the event the review range is triggered due to an increase in market value, the Fund will</w:t>
      </w:r>
      <w:r w:rsidR="00E62B55">
        <w:rPr>
          <w:rFonts w:cs="Arial"/>
          <w:sz w:val="20"/>
        </w:rPr>
        <w:t xml:space="preserve"> </w:t>
      </w:r>
      <w:r w:rsidRPr="009A25B1">
        <w:rPr>
          <w:rFonts w:cs="Arial"/>
          <w:sz w:val="20"/>
        </w:rPr>
        <w:t xml:space="preserve">review the valuations for a period of at least 12months before considering sale of assets.  </w:t>
      </w:r>
    </w:p>
    <w:p w14:paraId="72E4AE50" w14:textId="77777777" w:rsidR="00AA68C3" w:rsidRDefault="00AA68C3" w:rsidP="009A25B1">
      <w:pPr>
        <w:jc w:val="both"/>
        <w:rPr>
          <w:rFonts w:cs="Arial"/>
          <w:sz w:val="20"/>
        </w:rPr>
      </w:pPr>
    </w:p>
    <w:p w14:paraId="776A0593" w14:textId="1E40B28F" w:rsidR="00AA68C3" w:rsidRPr="00AA68C3" w:rsidRDefault="00AA68C3" w:rsidP="009848A7">
      <w:pPr>
        <w:jc w:val="both"/>
        <w:rPr>
          <w:rFonts w:cs="Arial"/>
          <w:sz w:val="20"/>
        </w:rPr>
      </w:pPr>
      <w:r w:rsidRPr="00AA68C3">
        <w:rPr>
          <w:rFonts w:cs="Arial"/>
          <w:sz w:val="20"/>
        </w:rPr>
        <w:t xml:space="preserve">The Fund takes a broad approach to </w:t>
      </w:r>
      <w:r>
        <w:rPr>
          <w:rFonts w:cs="Arial"/>
          <w:sz w:val="20"/>
        </w:rPr>
        <w:t>the alternatives</w:t>
      </w:r>
      <w:r w:rsidRPr="00AA68C3">
        <w:rPr>
          <w:rFonts w:cs="Arial"/>
          <w:sz w:val="20"/>
        </w:rPr>
        <w:t xml:space="preserve"> strategic target by modelling</w:t>
      </w:r>
      <w:r>
        <w:rPr>
          <w:rFonts w:cs="Arial"/>
          <w:sz w:val="20"/>
        </w:rPr>
        <w:t xml:space="preserve"> </w:t>
      </w:r>
      <w:r w:rsidRPr="00AA68C3">
        <w:rPr>
          <w:rFonts w:cs="Arial"/>
          <w:sz w:val="20"/>
        </w:rPr>
        <w:t>commitments to meet the 5% allocation target. It is recognised that achieving the desired</w:t>
      </w:r>
      <w:r>
        <w:rPr>
          <w:rFonts w:cs="Arial"/>
          <w:sz w:val="20"/>
        </w:rPr>
        <w:t xml:space="preserve"> </w:t>
      </w:r>
      <w:r w:rsidRPr="00AA68C3">
        <w:rPr>
          <w:rFonts w:cs="Arial"/>
          <w:sz w:val="20"/>
        </w:rPr>
        <w:t xml:space="preserve">exposure level can take a long time.  </w:t>
      </w:r>
    </w:p>
    <w:p w14:paraId="2969AC51" w14:textId="33C0A908" w:rsidR="00AA68C3" w:rsidRPr="00AA68C3" w:rsidRDefault="00AA68C3" w:rsidP="009848A7">
      <w:pPr>
        <w:jc w:val="both"/>
        <w:rPr>
          <w:rFonts w:cs="Arial"/>
          <w:sz w:val="20"/>
        </w:rPr>
      </w:pPr>
      <w:r w:rsidRPr="00AA68C3">
        <w:rPr>
          <w:rFonts w:cs="Arial"/>
          <w:sz w:val="20"/>
        </w:rPr>
        <w:t xml:space="preserve">If the projected exposure to </w:t>
      </w:r>
      <w:r>
        <w:rPr>
          <w:rFonts w:cs="Arial"/>
          <w:sz w:val="20"/>
        </w:rPr>
        <w:t>alternatives</w:t>
      </w:r>
      <w:r w:rsidRPr="00AA68C3">
        <w:rPr>
          <w:rFonts w:cs="Arial"/>
          <w:sz w:val="20"/>
        </w:rPr>
        <w:t xml:space="preserve"> exceeds the review range, a reduction or pause</w:t>
      </w:r>
      <w:r>
        <w:rPr>
          <w:rFonts w:cs="Arial"/>
          <w:sz w:val="20"/>
        </w:rPr>
        <w:t xml:space="preserve"> </w:t>
      </w:r>
      <w:r w:rsidRPr="00AA68C3">
        <w:rPr>
          <w:rFonts w:cs="Arial"/>
          <w:sz w:val="20"/>
        </w:rPr>
        <w:t>of future commitments will be considered</w:t>
      </w:r>
      <w:r w:rsidR="009848A7">
        <w:rPr>
          <w:rFonts w:cs="Arial"/>
          <w:sz w:val="20"/>
        </w:rPr>
        <w:t xml:space="preserve">.  </w:t>
      </w:r>
      <w:r w:rsidRPr="00AA68C3">
        <w:rPr>
          <w:rFonts w:cs="Arial"/>
          <w:sz w:val="20"/>
        </w:rPr>
        <w:t>The allocation will be</w:t>
      </w:r>
      <w:r w:rsidR="009848A7">
        <w:rPr>
          <w:rFonts w:cs="Arial"/>
          <w:sz w:val="20"/>
        </w:rPr>
        <w:t xml:space="preserve"> </w:t>
      </w:r>
      <w:r w:rsidRPr="00AA68C3">
        <w:rPr>
          <w:rFonts w:cs="Arial"/>
          <w:sz w:val="20"/>
        </w:rPr>
        <w:t>monitored until it falls back into line with the strategic target.  If the asset allocation falls below the review range, the Fund will consider up to date</w:t>
      </w:r>
    </w:p>
    <w:p w14:paraId="00EFF52B" w14:textId="5219D9F9" w:rsidR="00AA68C3" w:rsidRPr="009A25B1" w:rsidRDefault="00AA68C3" w:rsidP="009848A7">
      <w:pPr>
        <w:jc w:val="both"/>
        <w:rPr>
          <w:rFonts w:cs="Arial"/>
          <w:sz w:val="20"/>
        </w:rPr>
      </w:pPr>
      <w:r w:rsidRPr="00AA68C3">
        <w:rPr>
          <w:rFonts w:cs="Arial"/>
          <w:sz w:val="20"/>
        </w:rPr>
        <w:t>modelling of additional commitments to bring the exposure back into line with the</w:t>
      </w:r>
      <w:r w:rsidR="009848A7">
        <w:rPr>
          <w:rFonts w:cs="Arial"/>
          <w:sz w:val="20"/>
        </w:rPr>
        <w:t xml:space="preserve"> </w:t>
      </w:r>
      <w:r w:rsidRPr="00AA68C3">
        <w:rPr>
          <w:rFonts w:cs="Arial"/>
          <w:sz w:val="20"/>
        </w:rPr>
        <w:t>strategic allocation.</w:t>
      </w:r>
    </w:p>
    <w:sectPr w:rsidR="00AA68C3" w:rsidRPr="009A25B1" w:rsidSect="00847BF0">
      <w:headerReference w:type="even" r:id="rId16"/>
      <w:headerReference w:type="default" r:id="rId17"/>
      <w:footerReference w:type="default" r:id="rId18"/>
      <w:headerReference w:type="first" r:id="rId19"/>
      <w:footerReference w:type="first" r:id="rId20"/>
      <w:pgSz w:w="11909" w:h="16834" w:code="9"/>
      <w:pgMar w:top="851" w:right="1440" w:bottom="992" w:left="1440" w:header="709" w:footer="709"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80952" w14:textId="77777777" w:rsidR="00804666" w:rsidRDefault="00804666">
      <w:r>
        <w:separator/>
      </w:r>
    </w:p>
  </w:endnote>
  <w:endnote w:type="continuationSeparator" w:id="0">
    <w:p w14:paraId="539EBC3A" w14:textId="77777777" w:rsidR="00804666" w:rsidRDefault="0080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D5B6" w14:textId="77777777" w:rsidR="00951D77" w:rsidRPr="00B71371" w:rsidRDefault="00951D77" w:rsidP="00951D77">
    <w:pPr>
      <w:pStyle w:val="Footer"/>
      <w:rPr>
        <w:sz w:val="16"/>
        <w:szCs w:val="16"/>
      </w:rPr>
    </w:pPr>
    <w:r>
      <w:rPr>
        <w:sz w:val="16"/>
        <w:szCs w:val="16"/>
      </w:rPr>
      <w:t>260-2025-TREASURY POLICY 220925</w:t>
    </w:r>
  </w:p>
  <w:p w14:paraId="4797D758" w14:textId="77777777" w:rsidR="00B71371" w:rsidRDefault="00B71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EAEE" w14:textId="58F72A12" w:rsidR="00B71371" w:rsidRPr="00B71371" w:rsidRDefault="00951D77">
    <w:pPr>
      <w:pStyle w:val="Footer"/>
      <w:rPr>
        <w:sz w:val="16"/>
        <w:szCs w:val="16"/>
      </w:rPr>
    </w:pPr>
    <w:r>
      <w:rPr>
        <w:sz w:val="16"/>
        <w:szCs w:val="16"/>
      </w:rPr>
      <w:t>260</w:t>
    </w:r>
    <w:r w:rsidR="00C61C97">
      <w:rPr>
        <w:sz w:val="16"/>
        <w:szCs w:val="16"/>
      </w:rPr>
      <w:t>-</w:t>
    </w:r>
    <w:r w:rsidR="00B71371">
      <w:rPr>
        <w:sz w:val="16"/>
        <w:szCs w:val="16"/>
      </w:rPr>
      <w:t>20</w:t>
    </w:r>
    <w:r w:rsidR="00B238A2">
      <w:rPr>
        <w:sz w:val="16"/>
        <w:szCs w:val="16"/>
      </w:rPr>
      <w:t>2</w:t>
    </w:r>
    <w:r w:rsidR="004620FE">
      <w:rPr>
        <w:sz w:val="16"/>
        <w:szCs w:val="16"/>
      </w:rPr>
      <w:t>5</w:t>
    </w:r>
    <w:r w:rsidR="00B71371">
      <w:rPr>
        <w:sz w:val="16"/>
        <w:szCs w:val="16"/>
      </w:rPr>
      <w:t>-TREASURY POLICY</w:t>
    </w:r>
    <w:r w:rsidR="00010F92">
      <w:rPr>
        <w:sz w:val="16"/>
        <w:szCs w:val="16"/>
      </w:rPr>
      <w:t xml:space="preserve"> </w:t>
    </w:r>
    <w:r>
      <w:rPr>
        <w:sz w:val="16"/>
        <w:szCs w:val="16"/>
      </w:rPr>
      <w:t>2209</w:t>
    </w:r>
    <w:r w:rsidR="00B238A2">
      <w:rPr>
        <w:sz w:val="16"/>
        <w:szCs w:val="16"/>
      </w:rPr>
      <w:t>2</w:t>
    </w:r>
    <w:r w:rsidR="004620FE">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2151" w14:textId="51AB95DE" w:rsidR="008C23E5" w:rsidRPr="00B71371" w:rsidRDefault="00010F92" w:rsidP="008C23E5">
    <w:pPr>
      <w:pStyle w:val="Footer"/>
      <w:rPr>
        <w:sz w:val="16"/>
        <w:szCs w:val="16"/>
      </w:rPr>
    </w:pPr>
    <w:r>
      <w:rPr>
        <w:sz w:val="16"/>
        <w:szCs w:val="16"/>
      </w:rPr>
      <w:t>98</w:t>
    </w:r>
    <w:r w:rsidR="008C23E5">
      <w:rPr>
        <w:sz w:val="16"/>
        <w:szCs w:val="16"/>
      </w:rPr>
      <w:t>-202</w:t>
    </w:r>
    <w:r w:rsidR="00E1206A">
      <w:rPr>
        <w:sz w:val="16"/>
        <w:szCs w:val="16"/>
      </w:rPr>
      <w:t>5</w:t>
    </w:r>
    <w:r w:rsidR="008C23E5">
      <w:rPr>
        <w:sz w:val="16"/>
        <w:szCs w:val="16"/>
      </w:rPr>
      <w:t>-TREASURY POLICY</w:t>
    </w:r>
    <w:r>
      <w:rPr>
        <w:sz w:val="16"/>
        <w:szCs w:val="16"/>
      </w:rPr>
      <w:t xml:space="preserve"> </w:t>
    </w:r>
    <w:r w:rsidR="00CC2691">
      <w:rPr>
        <w:sz w:val="16"/>
        <w:szCs w:val="16"/>
      </w:rPr>
      <w:t>1</w:t>
    </w:r>
    <w:r w:rsidR="00E1206A">
      <w:rPr>
        <w:sz w:val="16"/>
        <w:szCs w:val="16"/>
      </w:rPr>
      <w:t>7</w:t>
    </w:r>
    <w:r w:rsidR="008C23E5">
      <w:rPr>
        <w:sz w:val="16"/>
        <w:szCs w:val="16"/>
      </w:rPr>
      <w:t>032</w:t>
    </w:r>
    <w:r w:rsidR="00E1206A">
      <w:rPr>
        <w:sz w:val="16"/>
        <w:szCs w:val="16"/>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45E6" w14:textId="621BD268" w:rsidR="008C23E5" w:rsidRPr="00B71371" w:rsidRDefault="00010F92" w:rsidP="008C23E5">
    <w:pPr>
      <w:pStyle w:val="Footer"/>
      <w:rPr>
        <w:sz w:val="16"/>
        <w:szCs w:val="16"/>
      </w:rPr>
    </w:pPr>
    <w:r>
      <w:rPr>
        <w:sz w:val="16"/>
        <w:szCs w:val="16"/>
      </w:rPr>
      <w:t>98</w:t>
    </w:r>
    <w:r w:rsidR="008C23E5">
      <w:rPr>
        <w:sz w:val="16"/>
        <w:szCs w:val="16"/>
      </w:rPr>
      <w:t>-202</w:t>
    </w:r>
    <w:r w:rsidR="00E1206A">
      <w:rPr>
        <w:sz w:val="16"/>
        <w:szCs w:val="16"/>
      </w:rPr>
      <w:t>5</w:t>
    </w:r>
    <w:r w:rsidR="008C23E5">
      <w:rPr>
        <w:sz w:val="16"/>
        <w:szCs w:val="16"/>
      </w:rPr>
      <w:t>-TREASURY POLICY</w:t>
    </w:r>
    <w:r>
      <w:rPr>
        <w:sz w:val="16"/>
        <w:szCs w:val="16"/>
      </w:rPr>
      <w:t xml:space="preserve"> </w:t>
    </w:r>
    <w:r w:rsidR="00CC2691">
      <w:rPr>
        <w:sz w:val="16"/>
        <w:szCs w:val="16"/>
      </w:rPr>
      <w:t>1</w:t>
    </w:r>
    <w:r w:rsidR="00E1206A">
      <w:rPr>
        <w:sz w:val="16"/>
        <w:szCs w:val="16"/>
      </w:rPr>
      <w:t>7</w:t>
    </w:r>
    <w:r w:rsidR="008C23E5">
      <w:rPr>
        <w:sz w:val="16"/>
        <w:szCs w:val="16"/>
      </w:rPr>
      <w:t>032</w:t>
    </w:r>
    <w:r w:rsidR="00E1206A">
      <w:rPr>
        <w:sz w:val="16"/>
        <w:szCs w:val="16"/>
      </w:rPr>
      <w:t>5</w:t>
    </w:r>
  </w:p>
  <w:p w14:paraId="2C0F40AD" w14:textId="77777777" w:rsidR="005F4CF8" w:rsidRPr="00B004F2" w:rsidRDefault="005F4CF8" w:rsidP="00B0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B2D23" w14:textId="77777777" w:rsidR="00804666" w:rsidRDefault="00804666">
      <w:r>
        <w:separator/>
      </w:r>
    </w:p>
  </w:footnote>
  <w:footnote w:type="continuationSeparator" w:id="0">
    <w:p w14:paraId="6BAD2B9E" w14:textId="77777777" w:rsidR="00804666" w:rsidRDefault="0080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2916" w14:textId="77777777" w:rsidR="009E6664" w:rsidRDefault="009E6664">
    <w:pPr>
      <w:pStyle w:val="Header"/>
      <w:jc w:val="center"/>
    </w:pPr>
    <w:r>
      <w:fldChar w:fldCharType="begin"/>
    </w:r>
    <w:r>
      <w:instrText xml:space="preserve"> PAGE   \* MERGEFORMAT </w:instrText>
    </w:r>
    <w:r>
      <w:fldChar w:fldCharType="separate"/>
    </w:r>
    <w:r w:rsidR="002641E5">
      <w:rPr>
        <w:noProof/>
      </w:rPr>
      <w:t>3</w:t>
    </w:r>
    <w:r>
      <w:rPr>
        <w:noProof/>
      </w:rPr>
      <w:fldChar w:fldCharType="end"/>
    </w:r>
  </w:p>
  <w:p w14:paraId="407C0FDA" w14:textId="77777777" w:rsidR="00A9577A" w:rsidRDefault="00A95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A337" w14:textId="77777777" w:rsidR="009B20CE" w:rsidRDefault="009B2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42AD" w14:textId="77777777" w:rsidR="009B20CE" w:rsidRDefault="009B2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F896" w14:textId="77777777" w:rsidR="009B20CE" w:rsidRDefault="009B2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E86"/>
    <w:multiLevelType w:val="hybridMultilevel"/>
    <w:tmpl w:val="53C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67941"/>
    <w:multiLevelType w:val="hybridMultilevel"/>
    <w:tmpl w:val="24D0B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62F3"/>
    <w:multiLevelType w:val="hybridMultilevel"/>
    <w:tmpl w:val="8AA0937A"/>
    <w:lvl w:ilvl="0" w:tplc="08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3" w15:restartNumberingAfterBreak="0">
    <w:nsid w:val="06F21462"/>
    <w:multiLevelType w:val="hybridMultilevel"/>
    <w:tmpl w:val="D4267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8022A"/>
    <w:multiLevelType w:val="hybridMultilevel"/>
    <w:tmpl w:val="6F72D2A2"/>
    <w:lvl w:ilvl="0" w:tplc="40EE473C">
      <w:start w:val="1"/>
      <w:numFmt w:val="decimal"/>
      <w:lvlText w:val="%1"/>
      <w:lvlJc w:val="left"/>
      <w:pPr>
        <w:tabs>
          <w:tab w:val="num" w:pos="1211"/>
        </w:tabs>
        <w:ind w:left="1211" w:hanging="360"/>
      </w:pPr>
      <w:rPr>
        <w:rFonts w:ascii="Calibri" w:eastAsia="Times New Roman" w:hAnsi="Calibri" w:cs="Calibri"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5" w15:restartNumberingAfterBreak="0">
    <w:nsid w:val="121A168F"/>
    <w:multiLevelType w:val="hybridMultilevel"/>
    <w:tmpl w:val="3F6A5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481"/>
    <w:multiLevelType w:val="hybridMultilevel"/>
    <w:tmpl w:val="13FE6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E140EA"/>
    <w:multiLevelType w:val="hybridMultilevel"/>
    <w:tmpl w:val="3116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D5138"/>
    <w:multiLevelType w:val="hybridMultilevel"/>
    <w:tmpl w:val="B3B8082C"/>
    <w:lvl w:ilvl="0" w:tplc="3DC066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74D5CB6"/>
    <w:multiLevelType w:val="hybridMultilevel"/>
    <w:tmpl w:val="FA089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9E5E31"/>
    <w:multiLevelType w:val="hybridMultilevel"/>
    <w:tmpl w:val="3A7E8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EC0D17"/>
    <w:multiLevelType w:val="hybridMultilevel"/>
    <w:tmpl w:val="BC3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77C54"/>
    <w:multiLevelType w:val="hybridMultilevel"/>
    <w:tmpl w:val="6B541486"/>
    <w:lvl w:ilvl="0" w:tplc="45DEC2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D22E2"/>
    <w:multiLevelType w:val="hybridMultilevel"/>
    <w:tmpl w:val="E268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833E37"/>
    <w:multiLevelType w:val="multilevel"/>
    <w:tmpl w:val="AE6AB9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C6F69"/>
    <w:multiLevelType w:val="hybridMultilevel"/>
    <w:tmpl w:val="9E84BD6A"/>
    <w:lvl w:ilvl="0" w:tplc="45DEC2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F31CC"/>
    <w:multiLevelType w:val="hybridMultilevel"/>
    <w:tmpl w:val="26923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DA254E"/>
    <w:multiLevelType w:val="multilevel"/>
    <w:tmpl w:val="AE6AB91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9642E"/>
    <w:multiLevelType w:val="hybridMultilevel"/>
    <w:tmpl w:val="2E026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A07631"/>
    <w:multiLevelType w:val="hybridMultilevel"/>
    <w:tmpl w:val="DB5C0D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E2065E"/>
    <w:multiLevelType w:val="hybridMultilevel"/>
    <w:tmpl w:val="A9DE2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482630"/>
    <w:multiLevelType w:val="hybridMultilevel"/>
    <w:tmpl w:val="7FF45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E05487"/>
    <w:multiLevelType w:val="hybridMultilevel"/>
    <w:tmpl w:val="0636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858D3"/>
    <w:multiLevelType w:val="hybridMultilevel"/>
    <w:tmpl w:val="F55EA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565DA7"/>
    <w:multiLevelType w:val="hybridMultilevel"/>
    <w:tmpl w:val="1BD2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0879"/>
    <w:multiLevelType w:val="hybridMultilevel"/>
    <w:tmpl w:val="7F101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991F2D"/>
    <w:multiLevelType w:val="hybridMultilevel"/>
    <w:tmpl w:val="5A783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622E7"/>
    <w:multiLevelType w:val="hybridMultilevel"/>
    <w:tmpl w:val="5A0C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42675"/>
    <w:multiLevelType w:val="hybridMultilevel"/>
    <w:tmpl w:val="19ECD20C"/>
    <w:lvl w:ilvl="0" w:tplc="F58E0C1E">
      <w:start w:val="1"/>
      <w:numFmt w:val="decimal"/>
      <w:lvlText w:val="%1"/>
      <w:lvlJc w:val="left"/>
      <w:pPr>
        <w:ind w:left="93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B355EF"/>
    <w:multiLevelType w:val="hybridMultilevel"/>
    <w:tmpl w:val="632E5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BB5F5D"/>
    <w:multiLevelType w:val="hybridMultilevel"/>
    <w:tmpl w:val="3846358A"/>
    <w:lvl w:ilvl="0" w:tplc="08090001">
      <w:start w:val="1"/>
      <w:numFmt w:val="bullet"/>
      <w:lvlText w:val=""/>
      <w:lvlJc w:val="left"/>
      <w:pPr>
        <w:tabs>
          <w:tab w:val="num" w:pos="1080"/>
        </w:tabs>
        <w:ind w:left="1080" w:hanging="360"/>
      </w:pPr>
      <w:rPr>
        <w:rFonts w:ascii="Symbol" w:hAnsi="Symbol" w:hint="default"/>
        <w:color w:val="auto"/>
        <w:sz w:val="16"/>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2D6E4A"/>
    <w:multiLevelType w:val="multilevel"/>
    <w:tmpl w:val="AE6AB9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465106"/>
    <w:multiLevelType w:val="hybridMultilevel"/>
    <w:tmpl w:val="3324366E"/>
    <w:lvl w:ilvl="0" w:tplc="F8C41C32">
      <w:start w:val="1"/>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96074"/>
    <w:multiLevelType w:val="hybridMultilevel"/>
    <w:tmpl w:val="1C78A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3B56C4"/>
    <w:multiLevelType w:val="hybridMultilevel"/>
    <w:tmpl w:val="E408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931819">
    <w:abstractNumId w:val="19"/>
  </w:num>
  <w:num w:numId="2" w16cid:durableId="203180825">
    <w:abstractNumId w:val="31"/>
  </w:num>
  <w:num w:numId="3" w16cid:durableId="1312560864">
    <w:abstractNumId w:val="17"/>
  </w:num>
  <w:num w:numId="4" w16cid:durableId="640230747">
    <w:abstractNumId w:val="3"/>
  </w:num>
  <w:num w:numId="5" w16cid:durableId="1652102601">
    <w:abstractNumId w:val="25"/>
  </w:num>
  <w:num w:numId="6" w16cid:durableId="2080441654">
    <w:abstractNumId w:val="7"/>
  </w:num>
  <w:num w:numId="7" w16cid:durableId="171919175">
    <w:abstractNumId w:val="6"/>
  </w:num>
  <w:num w:numId="8" w16cid:durableId="1751192159">
    <w:abstractNumId w:val="9"/>
  </w:num>
  <w:num w:numId="9" w16cid:durableId="711732758">
    <w:abstractNumId w:val="21"/>
  </w:num>
  <w:num w:numId="10" w16cid:durableId="831995414">
    <w:abstractNumId w:val="18"/>
  </w:num>
  <w:num w:numId="11" w16cid:durableId="6904131">
    <w:abstractNumId w:val="13"/>
  </w:num>
  <w:num w:numId="12" w16cid:durableId="2102218108">
    <w:abstractNumId w:val="33"/>
  </w:num>
  <w:num w:numId="13" w16cid:durableId="1072704583">
    <w:abstractNumId w:val="29"/>
  </w:num>
  <w:num w:numId="14" w16cid:durableId="244653886">
    <w:abstractNumId w:val="30"/>
  </w:num>
  <w:num w:numId="15" w16cid:durableId="1182668737">
    <w:abstractNumId w:val="22"/>
  </w:num>
  <w:num w:numId="16" w16cid:durableId="1488472299">
    <w:abstractNumId w:val="32"/>
  </w:num>
  <w:num w:numId="17" w16cid:durableId="1565067367">
    <w:abstractNumId w:val="4"/>
  </w:num>
  <w:num w:numId="18" w16cid:durableId="1514761962">
    <w:abstractNumId w:val="26"/>
  </w:num>
  <w:num w:numId="19" w16cid:durableId="542599835">
    <w:abstractNumId w:val="10"/>
  </w:num>
  <w:num w:numId="20" w16cid:durableId="783816184">
    <w:abstractNumId w:val="16"/>
  </w:num>
  <w:num w:numId="21" w16cid:durableId="1986280216">
    <w:abstractNumId w:val="23"/>
  </w:num>
  <w:num w:numId="22" w16cid:durableId="146090330">
    <w:abstractNumId w:val="0"/>
  </w:num>
  <w:num w:numId="23" w16cid:durableId="2009284664">
    <w:abstractNumId w:val="11"/>
  </w:num>
  <w:num w:numId="24" w16cid:durableId="1806700789">
    <w:abstractNumId w:val="20"/>
  </w:num>
  <w:num w:numId="25" w16cid:durableId="781457583">
    <w:abstractNumId w:val="1"/>
  </w:num>
  <w:num w:numId="26" w16cid:durableId="692995903">
    <w:abstractNumId w:val="14"/>
  </w:num>
  <w:num w:numId="27" w16cid:durableId="6293863">
    <w:abstractNumId w:val="24"/>
  </w:num>
  <w:num w:numId="28" w16cid:durableId="1695184066">
    <w:abstractNumId w:val="2"/>
  </w:num>
  <w:num w:numId="29" w16cid:durableId="1460302754">
    <w:abstractNumId w:val="8"/>
  </w:num>
  <w:num w:numId="30" w16cid:durableId="1761172819">
    <w:abstractNumId w:val="28"/>
  </w:num>
  <w:num w:numId="31" w16cid:durableId="514733220">
    <w:abstractNumId w:val="27"/>
  </w:num>
  <w:num w:numId="32" w16cid:durableId="2084982572">
    <w:abstractNumId w:val="34"/>
  </w:num>
  <w:num w:numId="33" w16cid:durableId="1829706290">
    <w:abstractNumId w:val="12"/>
  </w:num>
  <w:num w:numId="34" w16cid:durableId="856234083">
    <w:abstractNumId w:val="15"/>
  </w:num>
  <w:num w:numId="35" w16cid:durableId="15730612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50"/>
    <w:rsid w:val="00002AED"/>
    <w:rsid w:val="00003EC6"/>
    <w:rsid w:val="00004283"/>
    <w:rsid w:val="00010F92"/>
    <w:rsid w:val="00011E9B"/>
    <w:rsid w:val="000122AA"/>
    <w:rsid w:val="00012FEB"/>
    <w:rsid w:val="000163F5"/>
    <w:rsid w:val="000253AD"/>
    <w:rsid w:val="00026FFC"/>
    <w:rsid w:val="00037D5F"/>
    <w:rsid w:val="00041DCC"/>
    <w:rsid w:val="0004316E"/>
    <w:rsid w:val="000522F1"/>
    <w:rsid w:val="00053093"/>
    <w:rsid w:val="00056E5F"/>
    <w:rsid w:val="000704FE"/>
    <w:rsid w:val="00070B88"/>
    <w:rsid w:val="0007574F"/>
    <w:rsid w:val="0008062F"/>
    <w:rsid w:val="000844AB"/>
    <w:rsid w:val="00086A40"/>
    <w:rsid w:val="000871DD"/>
    <w:rsid w:val="00090994"/>
    <w:rsid w:val="00092773"/>
    <w:rsid w:val="00092DB1"/>
    <w:rsid w:val="000A78A1"/>
    <w:rsid w:val="000B427A"/>
    <w:rsid w:val="000B60EE"/>
    <w:rsid w:val="000C6450"/>
    <w:rsid w:val="000D226F"/>
    <w:rsid w:val="000D3B7C"/>
    <w:rsid w:val="000D6B0D"/>
    <w:rsid w:val="000E5654"/>
    <w:rsid w:val="000E6A02"/>
    <w:rsid w:val="000F4836"/>
    <w:rsid w:val="000F4EAC"/>
    <w:rsid w:val="000F5592"/>
    <w:rsid w:val="00100FF3"/>
    <w:rsid w:val="001010A6"/>
    <w:rsid w:val="00106DDB"/>
    <w:rsid w:val="001368DA"/>
    <w:rsid w:val="00143EFB"/>
    <w:rsid w:val="00144148"/>
    <w:rsid w:val="001468DC"/>
    <w:rsid w:val="00170B7B"/>
    <w:rsid w:val="00175398"/>
    <w:rsid w:val="00190616"/>
    <w:rsid w:val="00191106"/>
    <w:rsid w:val="00191E6C"/>
    <w:rsid w:val="00192A76"/>
    <w:rsid w:val="00194751"/>
    <w:rsid w:val="00195156"/>
    <w:rsid w:val="001A5C20"/>
    <w:rsid w:val="001A78F3"/>
    <w:rsid w:val="001B0EEE"/>
    <w:rsid w:val="001B1293"/>
    <w:rsid w:val="001B2D14"/>
    <w:rsid w:val="001C2864"/>
    <w:rsid w:val="001C38CA"/>
    <w:rsid w:val="001D04FD"/>
    <w:rsid w:val="001E0DF7"/>
    <w:rsid w:val="001E41DC"/>
    <w:rsid w:val="001E4856"/>
    <w:rsid w:val="001E505D"/>
    <w:rsid w:val="001F4FAC"/>
    <w:rsid w:val="001F6563"/>
    <w:rsid w:val="001F67C8"/>
    <w:rsid w:val="00201751"/>
    <w:rsid w:val="00205F48"/>
    <w:rsid w:val="00210530"/>
    <w:rsid w:val="002119A3"/>
    <w:rsid w:val="002135C5"/>
    <w:rsid w:val="00213F9A"/>
    <w:rsid w:val="00223BFF"/>
    <w:rsid w:val="002243BF"/>
    <w:rsid w:val="0022562C"/>
    <w:rsid w:val="00225CC4"/>
    <w:rsid w:val="0022636E"/>
    <w:rsid w:val="00232392"/>
    <w:rsid w:val="00233714"/>
    <w:rsid w:val="00234AB3"/>
    <w:rsid w:val="00244F83"/>
    <w:rsid w:val="00246C11"/>
    <w:rsid w:val="00253A11"/>
    <w:rsid w:val="00255E43"/>
    <w:rsid w:val="00260615"/>
    <w:rsid w:val="002611F2"/>
    <w:rsid w:val="00263DB6"/>
    <w:rsid w:val="002641E5"/>
    <w:rsid w:val="00266541"/>
    <w:rsid w:val="00281926"/>
    <w:rsid w:val="0028607F"/>
    <w:rsid w:val="00297187"/>
    <w:rsid w:val="002A29E9"/>
    <w:rsid w:val="002A4A8C"/>
    <w:rsid w:val="002A4BEE"/>
    <w:rsid w:val="002B100E"/>
    <w:rsid w:val="002B4F76"/>
    <w:rsid w:val="002C1004"/>
    <w:rsid w:val="002D5C79"/>
    <w:rsid w:val="002E3A59"/>
    <w:rsid w:val="002E70EC"/>
    <w:rsid w:val="002F08E2"/>
    <w:rsid w:val="002F0F72"/>
    <w:rsid w:val="002F438C"/>
    <w:rsid w:val="002F45E1"/>
    <w:rsid w:val="00306A9C"/>
    <w:rsid w:val="00313543"/>
    <w:rsid w:val="00315321"/>
    <w:rsid w:val="00320DA2"/>
    <w:rsid w:val="00324B83"/>
    <w:rsid w:val="00331AF4"/>
    <w:rsid w:val="0033252F"/>
    <w:rsid w:val="0034013E"/>
    <w:rsid w:val="003415F3"/>
    <w:rsid w:val="003449D7"/>
    <w:rsid w:val="00344A69"/>
    <w:rsid w:val="003461FC"/>
    <w:rsid w:val="003504AB"/>
    <w:rsid w:val="00356B07"/>
    <w:rsid w:val="003615F8"/>
    <w:rsid w:val="00361984"/>
    <w:rsid w:val="00371B49"/>
    <w:rsid w:val="00372942"/>
    <w:rsid w:val="0037455C"/>
    <w:rsid w:val="003752EB"/>
    <w:rsid w:val="003753B9"/>
    <w:rsid w:val="00377636"/>
    <w:rsid w:val="00387DFE"/>
    <w:rsid w:val="00390FE0"/>
    <w:rsid w:val="003973F0"/>
    <w:rsid w:val="00397984"/>
    <w:rsid w:val="003A23EC"/>
    <w:rsid w:val="003A5283"/>
    <w:rsid w:val="003A6355"/>
    <w:rsid w:val="003B0FEE"/>
    <w:rsid w:val="003B20EF"/>
    <w:rsid w:val="003B3B7D"/>
    <w:rsid w:val="003C181E"/>
    <w:rsid w:val="003C1977"/>
    <w:rsid w:val="003C1F93"/>
    <w:rsid w:val="003C2DBB"/>
    <w:rsid w:val="003C522A"/>
    <w:rsid w:val="003D2353"/>
    <w:rsid w:val="003D3A70"/>
    <w:rsid w:val="003D774C"/>
    <w:rsid w:val="003E20B2"/>
    <w:rsid w:val="003E230E"/>
    <w:rsid w:val="003E5123"/>
    <w:rsid w:val="003E5870"/>
    <w:rsid w:val="003E5991"/>
    <w:rsid w:val="003E6938"/>
    <w:rsid w:val="003E7B43"/>
    <w:rsid w:val="003F0C08"/>
    <w:rsid w:val="0040052B"/>
    <w:rsid w:val="00402A7E"/>
    <w:rsid w:val="004031B4"/>
    <w:rsid w:val="004213A9"/>
    <w:rsid w:val="004314A1"/>
    <w:rsid w:val="0046016C"/>
    <w:rsid w:val="004612C2"/>
    <w:rsid w:val="004620FE"/>
    <w:rsid w:val="00462BD6"/>
    <w:rsid w:val="0046443A"/>
    <w:rsid w:val="004801A5"/>
    <w:rsid w:val="0049259F"/>
    <w:rsid w:val="00493784"/>
    <w:rsid w:val="004B2236"/>
    <w:rsid w:val="004C0E11"/>
    <w:rsid w:val="004C2D7A"/>
    <w:rsid w:val="004C56B4"/>
    <w:rsid w:val="004C6523"/>
    <w:rsid w:val="004D0F90"/>
    <w:rsid w:val="004D369F"/>
    <w:rsid w:val="004D42A9"/>
    <w:rsid w:val="004D55EA"/>
    <w:rsid w:val="004D7858"/>
    <w:rsid w:val="004F0254"/>
    <w:rsid w:val="004F4E0F"/>
    <w:rsid w:val="004F7D8F"/>
    <w:rsid w:val="004F7EAD"/>
    <w:rsid w:val="00502FDE"/>
    <w:rsid w:val="005062EB"/>
    <w:rsid w:val="005125B6"/>
    <w:rsid w:val="00515648"/>
    <w:rsid w:val="00515F6C"/>
    <w:rsid w:val="00516433"/>
    <w:rsid w:val="00522D83"/>
    <w:rsid w:val="00523BA5"/>
    <w:rsid w:val="005257D9"/>
    <w:rsid w:val="00530345"/>
    <w:rsid w:val="00535DDA"/>
    <w:rsid w:val="00541FCB"/>
    <w:rsid w:val="005518FF"/>
    <w:rsid w:val="00554CEF"/>
    <w:rsid w:val="00566388"/>
    <w:rsid w:val="00570106"/>
    <w:rsid w:val="005721AC"/>
    <w:rsid w:val="005772F8"/>
    <w:rsid w:val="00583458"/>
    <w:rsid w:val="005859EF"/>
    <w:rsid w:val="00586A2F"/>
    <w:rsid w:val="005958A2"/>
    <w:rsid w:val="005A028A"/>
    <w:rsid w:val="005A3D06"/>
    <w:rsid w:val="005A4976"/>
    <w:rsid w:val="005A694C"/>
    <w:rsid w:val="005B1030"/>
    <w:rsid w:val="005B4563"/>
    <w:rsid w:val="005B5272"/>
    <w:rsid w:val="005C1BD7"/>
    <w:rsid w:val="005C683E"/>
    <w:rsid w:val="005D5FE0"/>
    <w:rsid w:val="005E08BE"/>
    <w:rsid w:val="005E32A1"/>
    <w:rsid w:val="005E3448"/>
    <w:rsid w:val="005E3558"/>
    <w:rsid w:val="005F3A32"/>
    <w:rsid w:val="005F4CF8"/>
    <w:rsid w:val="00605428"/>
    <w:rsid w:val="00606221"/>
    <w:rsid w:val="00610E5B"/>
    <w:rsid w:val="006221BC"/>
    <w:rsid w:val="00631973"/>
    <w:rsid w:val="0063761B"/>
    <w:rsid w:val="00647500"/>
    <w:rsid w:val="006503F5"/>
    <w:rsid w:val="006514E9"/>
    <w:rsid w:val="00652BEA"/>
    <w:rsid w:val="00653203"/>
    <w:rsid w:val="006543D5"/>
    <w:rsid w:val="00660211"/>
    <w:rsid w:val="00666BD6"/>
    <w:rsid w:val="00672660"/>
    <w:rsid w:val="0067333B"/>
    <w:rsid w:val="0068708E"/>
    <w:rsid w:val="0068741A"/>
    <w:rsid w:val="00692B47"/>
    <w:rsid w:val="00697D0F"/>
    <w:rsid w:val="006A0C1C"/>
    <w:rsid w:val="006B2BC9"/>
    <w:rsid w:val="006B63CF"/>
    <w:rsid w:val="006C4C27"/>
    <w:rsid w:val="006D6CD2"/>
    <w:rsid w:val="0071184A"/>
    <w:rsid w:val="00717495"/>
    <w:rsid w:val="0072090D"/>
    <w:rsid w:val="007226CB"/>
    <w:rsid w:val="00732314"/>
    <w:rsid w:val="00735BF3"/>
    <w:rsid w:val="00735CE2"/>
    <w:rsid w:val="00737A34"/>
    <w:rsid w:val="007454BF"/>
    <w:rsid w:val="0074665F"/>
    <w:rsid w:val="007474DD"/>
    <w:rsid w:val="00751E1E"/>
    <w:rsid w:val="00751E41"/>
    <w:rsid w:val="00753C60"/>
    <w:rsid w:val="00754582"/>
    <w:rsid w:val="00762D84"/>
    <w:rsid w:val="00770F48"/>
    <w:rsid w:val="00771864"/>
    <w:rsid w:val="007719F1"/>
    <w:rsid w:val="00776BFB"/>
    <w:rsid w:val="00781786"/>
    <w:rsid w:val="00785581"/>
    <w:rsid w:val="007A45BA"/>
    <w:rsid w:val="007B3862"/>
    <w:rsid w:val="007B5566"/>
    <w:rsid w:val="007B6AA4"/>
    <w:rsid w:val="007C4750"/>
    <w:rsid w:val="007C4993"/>
    <w:rsid w:val="007D28EF"/>
    <w:rsid w:val="007D576C"/>
    <w:rsid w:val="007D737D"/>
    <w:rsid w:val="007E1DF4"/>
    <w:rsid w:val="007E1EB7"/>
    <w:rsid w:val="007E59B7"/>
    <w:rsid w:val="007F75BA"/>
    <w:rsid w:val="008027C7"/>
    <w:rsid w:val="00803863"/>
    <w:rsid w:val="00804666"/>
    <w:rsid w:val="00815337"/>
    <w:rsid w:val="0081571C"/>
    <w:rsid w:val="00815A15"/>
    <w:rsid w:val="00823178"/>
    <w:rsid w:val="0084521C"/>
    <w:rsid w:val="00846959"/>
    <w:rsid w:val="00847BF0"/>
    <w:rsid w:val="008545C1"/>
    <w:rsid w:val="00855215"/>
    <w:rsid w:val="00856371"/>
    <w:rsid w:val="00876E8D"/>
    <w:rsid w:val="00881E00"/>
    <w:rsid w:val="008900B4"/>
    <w:rsid w:val="00892F6C"/>
    <w:rsid w:val="00893B2A"/>
    <w:rsid w:val="00895B37"/>
    <w:rsid w:val="008A1E06"/>
    <w:rsid w:val="008A4F03"/>
    <w:rsid w:val="008A6AFD"/>
    <w:rsid w:val="008B30D6"/>
    <w:rsid w:val="008B3416"/>
    <w:rsid w:val="008B501E"/>
    <w:rsid w:val="008C07F7"/>
    <w:rsid w:val="008C1560"/>
    <w:rsid w:val="008C23C8"/>
    <w:rsid w:val="008C23E5"/>
    <w:rsid w:val="008C26A5"/>
    <w:rsid w:val="008F104E"/>
    <w:rsid w:val="008F1C47"/>
    <w:rsid w:val="008F2EB5"/>
    <w:rsid w:val="008F5943"/>
    <w:rsid w:val="008F6A55"/>
    <w:rsid w:val="00900283"/>
    <w:rsid w:val="009004EA"/>
    <w:rsid w:val="00900DFF"/>
    <w:rsid w:val="00907905"/>
    <w:rsid w:val="00913226"/>
    <w:rsid w:val="00915676"/>
    <w:rsid w:val="00924F3B"/>
    <w:rsid w:val="0093013B"/>
    <w:rsid w:val="009435F4"/>
    <w:rsid w:val="00951D77"/>
    <w:rsid w:val="00956EF4"/>
    <w:rsid w:val="0096157D"/>
    <w:rsid w:val="009667E9"/>
    <w:rsid w:val="009718AA"/>
    <w:rsid w:val="00977B2D"/>
    <w:rsid w:val="00980FC7"/>
    <w:rsid w:val="009848A7"/>
    <w:rsid w:val="00992FC8"/>
    <w:rsid w:val="009A25B1"/>
    <w:rsid w:val="009A29C5"/>
    <w:rsid w:val="009B0011"/>
    <w:rsid w:val="009B20CE"/>
    <w:rsid w:val="009C72D5"/>
    <w:rsid w:val="009D2E41"/>
    <w:rsid w:val="009D6DE8"/>
    <w:rsid w:val="009E12B0"/>
    <w:rsid w:val="009E6664"/>
    <w:rsid w:val="009F205F"/>
    <w:rsid w:val="009F2549"/>
    <w:rsid w:val="00A05A6B"/>
    <w:rsid w:val="00A06932"/>
    <w:rsid w:val="00A11534"/>
    <w:rsid w:val="00A1233F"/>
    <w:rsid w:val="00A1241C"/>
    <w:rsid w:val="00A13C0C"/>
    <w:rsid w:val="00A13EB8"/>
    <w:rsid w:val="00A15F58"/>
    <w:rsid w:val="00A17322"/>
    <w:rsid w:val="00A263E9"/>
    <w:rsid w:val="00A26F5F"/>
    <w:rsid w:val="00A27077"/>
    <w:rsid w:val="00A3044D"/>
    <w:rsid w:val="00A44EEB"/>
    <w:rsid w:val="00A5327B"/>
    <w:rsid w:val="00A56D4D"/>
    <w:rsid w:val="00A5779C"/>
    <w:rsid w:val="00A71D20"/>
    <w:rsid w:val="00A71E1B"/>
    <w:rsid w:val="00A8125E"/>
    <w:rsid w:val="00A839E7"/>
    <w:rsid w:val="00A84C76"/>
    <w:rsid w:val="00A944DC"/>
    <w:rsid w:val="00A9577A"/>
    <w:rsid w:val="00A962DB"/>
    <w:rsid w:val="00AA15DE"/>
    <w:rsid w:val="00AA5D48"/>
    <w:rsid w:val="00AA68C3"/>
    <w:rsid w:val="00AB207C"/>
    <w:rsid w:val="00AB78C9"/>
    <w:rsid w:val="00AC5906"/>
    <w:rsid w:val="00AD44C3"/>
    <w:rsid w:val="00AD5100"/>
    <w:rsid w:val="00AE3784"/>
    <w:rsid w:val="00AE538E"/>
    <w:rsid w:val="00AE6EF1"/>
    <w:rsid w:val="00AF1EEF"/>
    <w:rsid w:val="00AF20EA"/>
    <w:rsid w:val="00B004F2"/>
    <w:rsid w:val="00B0257A"/>
    <w:rsid w:val="00B07EA9"/>
    <w:rsid w:val="00B114D7"/>
    <w:rsid w:val="00B14A50"/>
    <w:rsid w:val="00B238A2"/>
    <w:rsid w:val="00B25357"/>
    <w:rsid w:val="00B26130"/>
    <w:rsid w:val="00B268BB"/>
    <w:rsid w:val="00B30065"/>
    <w:rsid w:val="00B33652"/>
    <w:rsid w:val="00B4139D"/>
    <w:rsid w:val="00B50815"/>
    <w:rsid w:val="00B53B52"/>
    <w:rsid w:val="00B55536"/>
    <w:rsid w:val="00B56DC9"/>
    <w:rsid w:val="00B65ED6"/>
    <w:rsid w:val="00B71371"/>
    <w:rsid w:val="00B74939"/>
    <w:rsid w:val="00B75266"/>
    <w:rsid w:val="00B75356"/>
    <w:rsid w:val="00B82D83"/>
    <w:rsid w:val="00B8357C"/>
    <w:rsid w:val="00B8756D"/>
    <w:rsid w:val="00B9036A"/>
    <w:rsid w:val="00B946C8"/>
    <w:rsid w:val="00B950C1"/>
    <w:rsid w:val="00B97143"/>
    <w:rsid w:val="00B97D63"/>
    <w:rsid w:val="00BA628D"/>
    <w:rsid w:val="00BB2900"/>
    <w:rsid w:val="00BB46FD"/>
    <w:rsid w:val="00BC6D54"/>
    <w:rsid w:val="00BD1F57"/>
    <w:rsid w:val="00BD2D7A"/>
    <w:rsid w:val="00BD45F0"/>
    <w:rsid w:val="00BD52EC"/>
    <w:rsid w:val="00BD6A56"/>
    <w:rsid w:val="00BD7FD9"/>
    <w:rsid w:val="00BE108A"/>
    <w:rsid w:val="00BE38BD"/>
    <w:rsid w:val="00BE3F5A"/>
    <w:rsid w:val="00BE6C10"/>
    <w:rsid w:val="00BF000E"/>
    <w:rsid w:val="00BF411E"/>
    <w:rsid w:val="00BF679E"/>
    <w:rsid w:val="00C00CD1"/>
    <w:rsid w:val="00C03944"/>
    <w:rsid w:val="00C05B67"/>
    <w:rsid w:val="00C10CF3"/>
    <w:rsid w:val="00C116C1"/>
    <w:rsid w:val="00C22167"/>
    <w:rsid w:val="00C237F9"/>
    <w:rsid w:val="00C26A67"/>
    <w:rsid w:val="00C26A8D"/>
    <w:rsid w:val="00C27B8D"/>
    <w:rsid w:val="00C32D52"/>
    <w:rsid w:val="00C410B3"/>
    <w:rsid w:val="00C421BB"/>
    <w:rsid w:val="00C42EE1"/>
    <w:rsid w:val="00C43367"/>
    <w:rsid w:val="00C50A4A"/>
    <w:rsid w:val="00C54F63"/>
    <w:rsid w:val="00C57498"/>
    <w:rsid w:val="00C602AC"/>
    <w:rsid w:val="00C61296"/>
    <w:rsid w:val="00C61C97"/>
    <w:rsid w:val="00C6453B"/>
    <w:rsid w:val="00C647C1"/>
    <w:rsid w:val="00C64ED2"/>
    <w:rsid w:val="00C66761"/>
    <w:rsid w:val="00C77C6A"/>
    <w:rsid w:val="00C90C1A"/>
    <w:rsid w:val="00C90FFB"/>
    <w:rsid w:val="00C947EE"/>
    <w:rsid w:val="00CA3EF7"/>
    <w:rsid w:val="00CA4D8B"/>
    <w:rsid w:val="00CA5478"/>
    <w:rsid w:val="00CA70AA"/>
    <w:rsid w:val="00CB216A"/>
    <w:rsid w:val="00CC1D50"/>
    <w:rsid w:val="00CC2691"/>
    <w:rsid w:val="00CC5E22"/>
    <w:rsid w:val="00CD6DC9"/>
    <w:rsid w:val="00CE3815"/>
    <w:rsid w:val="00CE45EB"/>
    <w:rsid w:val="00CF45E8"/>
    <w:rsid w:val="00CF6324"/>
    <w:rsid w:val="00D03CA3"/>
    <w:rsid w:val="00D07E33"/>
    <w:rsid w:val="00D07FF4"/>
    <w:rsid w:val="00D1228F"/>
    <w:rsid w:val="00D15A30"/>
    <w:rsid w:val="00D17A9E"/>
    <w:rsid w:val="00D2071A"/>
    <w:rsid w:val="00D21F01"/>
    <w:rsid w:val="00D22F49"/>
    <w:rsid w:val="00D23706"/>
    <w:rsid w:val="00D24C8D"/>
    <w:rsid w:val="00D31540"/>
    <w:rsid w:val="00D331E2"/>
    <w:rsid w:val="00D33AAD"/>
    <w:rsid w:val="00D35DC0"/>
    <w:rsid w:val="00D37FB8"/>
    <w:rsid w:val="00D51E64"/>
    <w:rsid w:val="00D53818"/>
    <w:rsid w:val="00D53BAF"/>
    <w:rsid w:val="00D54216"/>
    <w:rsid w:val="00D60E4A"/>
    <w:rsid w:val="00D62572"/>
    <w:rsid w:val="00D634F6"/>
    <w:rsid w:val="00D63D26"/>
    <w:rsid w:val="00D67B9C"/>
    <w:rsid w:val="00D721A1"/>
    <w:rsid w:val="00D74586"/>
    <w:rsid w:val="00D7626C"/>
    <w:rsid w:val="00D87E88"/>
    <w:rsid w:val="00D91B56"/>
    <w:rsid w:val="00D972F4"/>
    <w:rsid w:val="00DA1E6A"/>
    <w:rsid w:val="00DA65CD"/>
    <w:rsid w:val="00DB0D07"/>
    <w:rsid w:val="00DB3232"/>
    <w:rsid w:val="00DB7BD3"/>
    <w:rsid w:val="00DC38D5"/>
    <w:rsid w:val="00DC4CED"/>
    <w:rsid w:val="00DC6AE0"/>
    <w:rsid w:val="00DD5F1F"/>
    <w:rsid w:val="00E01E48"/>
    <w:rsid w:val="00E02D3D"/>
    <w:rsid w:val="00E03209"/>
    <w:rsid w:val="00E06BD8"/>
    <w:rsid w:val="00E1206A"/>
    <w:rsid w:val="00E16AE7"/>
    <w:rsid w:val="00E179C1"/>
    <w:rsid w:val="00E420E2"/>
    <w:rsid w:val="00E56263"/>
    <w:rsid w:val="00E57254"/>
    <w:rsid w:val="00E62B55"/>
    <w:rsid w:val="00E65A76"/>
    <w:rsid w:val="00E66781"/>
    <w:rsid w:val="00E742B2"/>
    <w:rsid w:val="00E74F96"/>
    <w:rsid w:val="00E77BB4"/>
    <w:rsid w:val="00E9394B"/>
    <w:rsid w:val="00E953D9"/>
    <w:rsid w:val="00EA1D61"/>
    <w:rsid w:val="00EA28D5"/>
    <w:rsid w:val="00EA2E85"/>
    <w:rsid w:val="00EA45F3"/>
    <w:rsid w:val="00EB5AFE"/>
    <w:rsid w:val="00EB6119"/>
    <w:rsid w:val="00EC24EF"/>
    <w:rsid w:val="00EC4455"/>
    <w:rsid w:val="00EC567E"/>
    <w:rsid w:val="00EC7904"/>
    <w:rsid w:val="00EE4F21"/>
    <w:rsid w:val="00EF0221"/>
    <w:rsid w:val="00EF2045"/>
    <w:rsid w:val="00EF6251"/>
    <w:rsid w:val="00F10B70"/>
    <w:rsid w:val="00F17326"/>
    <w:rsid w:val="00F302CB"/>
    <w:rsid w:val="00F317C8"/>
    <w:rsid w:val="00F41355"/>
    <w:rsid w:val="00F47622"/>
    <w:rsid w:val="00F54A9C"/>
    <w:rsid w:val="00F63B24"/>
    <w:rsid w:val="00F7425F"/>
    <w:rsid w:val="00F75102"/>
    <w:rsid w:val="00F76399"/>
    <w:rsid w:val="00F76BCD"/>
    <w:rsid w:val="00F827F0"/>
    <w:rsid w:val="00F84FD8"/>
    <w:rsid w:val="00F855C7"/>
    <w:rsid w:val="00F940DC"/>
    <w:rsid w:val="00F94626"/>
    <w:rsid w:val="00F95952"/>
    <w:rsid w:val="00FA19A0"/>
    <w:rsid w:val="00FA6ADD"/>
    <w:rsid w:val="00FB3451"/>
    <w:rsid w:val="00FB5797"/>
    <w:rsid w:val="00FC2430"/>
    <w:rsid w:val="00FC3B59"/>
    <w:rsid w:val="00FC511F"/>
    <w:rsid w:val="00FC5D25"/>
    <w:rsid w:val="00FD1B4C"/>
    <w:rsid w:val="00FD4021"/>
    <w:rsid w:val="00FD6AC8"/>
    <w:rsid w:val="00FE5C0A"/>
    <w:rsid w:val="00FF0859"/>
    <w:rsid w:val="00FF100D"/>
    <w:rsid w:val="00FF24B3"/>
    <w:rsid w:val="00FF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ACA6B"/>
  <w15:chartTrackingRefBased/>
  <w15:docId w15:val="{EB4100CC-AEC6-4A78-BDBB-8482174B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567" w:hanging="567"/>
    </w:pPr>
  </w:style>
  <w:style w:type="paragraph" w:styleId="BodyTextIndent2">
    <w:name w:val="Body Text Indent 2"/>
    <w:basedOn w:val="Normal"/>
    <w:pPr>
      <w:ind w:left="1134" w:hanging="567"/>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u w:val="single"/>
    </w:rPr>
  </w:style>
  <w:style w:type="paragraph" w:styleId="BodyTextIndent">
    <w:name w:val="Body Text Indent"/>
    <w:basedOn w:val="Normal"/>
    <w:pPr>
      <w:ind w:left="720"/>
    </w:pPr>
  </w:style>
  <w:style w:type="table" w:styleId="TableGrid">
    <w:name w:val="Table Grid"/>
    <w:basedOn w:val="TableNormal"/>
    <w:uiPriority w:val="59"/>
    <w:rsid w:val="00A1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53D9"/>
    <w:rPr>
      <w:rFonts w:ascii="Tahoma" w:hAnsi="Tahoma" w:cs="Tahoma"/>
      <w:sz w:val="16"/>
      <w:szCs w:val="16"/>
    </w:rPr>
  </w:style>
  <w:style w:type="paragraph" w:styleId="BodyText">
    <w:name w:val="Body Text"/>
    <w:basedOn w:val="Normal"/>
    <w:rsid w:val="002B100E"/>
    <w:pPr>
      <w:spacing w:after="120"/>
    </w:pPr>
  </w:style>
  <w:style w:type="paragraph" w:styleId="BodyTextIndent3">
    <w:name w:val="Body Text Indent 3"/>
    <w:basedOn w:val="Normal"/>
    <w:link w:val="BodyTextIndent3Char"/>
    <w:rsid w:val="005257D9"/>
    <w:pPr>
      <w:spacing w:after="120"/>
      <w:ind w:left="283"/>
    </w:pPr>
    <w:rPr>
      <w:sz w:val="16"/>
      <w:szCs w:val="16"/>
    </w:rPr>
  </w:style>
  <w:style w:type="character" w:customStyle="1" w:styleId="HeaderChar">
    <w:name w:val="Header Char"/>
    <w:link w:val="Header"/>
    <w:uiPriority w:val="99"/>
    <w:rsid w:val="00FC5D25"/>
    <w:rPr>
      <w:rFonts w:ascii="Arial" w:hAnsi="Arial"/>
      <w:sz w:val="22"/>
      <w:lang w:eastAsia="en-US"/>
    </w:rPr>
  </w:style>
  <w:style w:type="paragraph" w:styleId="ListParagraph">
    <w:name w:val="List Paragraph"/>
    <w:basedOn w:val="Normal"/>
    <w:uiPriority w:val="34"/>
    <w:qFormat/>
    <w:rsid w:val="00FF0859"/>
    <w:pPr>
      <w:ind w:left="720"/>
    </w:pPr>
  </w:style>
  <w:style w:type="character" w:customStyle="1" w:styleId="BodyTextIndent3Char">
    <w:name w:val="Body Text Indent 3 Char"/>
    <w:link w:val="BodyTextIndent3"/>
    <w:rsid w:val="00762D84"/>
    <w:rPr>
      <w:rFonts w:ascii="Arial" w:hAnsi="Arial"/>
      <w:sz w:val="16"/>
      <w:szCs w:val="16"/>
      <w:lang w:eastAsia="en-US"/>
    </w:rPr>
  </w:style>
  <w:style w:type="character" w:customStyle="1" w:styleId="FooterChar">
    <w:name w:val="Footer Char"/>
    <w:link w:val="Footer"/>
    <w:rsid w:val="00751E1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65bf0e-7081-4583-b2f5-8a330c0c8789" xsi:nil="true"/>
    <lcf76f155ced4ddcb4097134ff3c332f xmlns="93da8161-ddec-478b-86a1-c05e0c16f3e7">
      <Terms xmlns="http://schemas.microsoft.com/office/infopath/2007/PartnerControls"/>
    </lcf76f155ced4ddcb4097134ff3c332f>
    <_ip_UnifiedCompliancePolicyProperties xmlns="http://schemas.microsoft.com/sharepoint/v3" xsi:nil="true"/>
    <_dlc_DocId xmlns="5b65bf0e-7081-4583-b2f5-8a330c0c8789">7DX77YRMCCNA-841004754-63525</_dlc_DocId>
    <_dlc_DocIdUrl xmlns="5b65bf0e-7081-4583-b2f5-8a330c0c8789">
      <Url>https://dundeecitygovuk.sharepoint.com/sites/SP-CorporateFinance/_layouts/15/DocIdRedir.aspx?ID=7DX77YRMCCNA-841004754-63525</Url>
      <Description>7DX77YRMCCNA-841004754-63525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96AEE0C4BB34692BC407FB68CD074" ma:contentTypeVersion="16" ma:contentTypeDescription="Create a new document." ma:contentTypeScope="" ma:versionID="092dbd6a127ff70f8a3f3dee431453ec">
  <xsd:schema xmlns:xsd="http://www.w3.org/2001/XMLSchema" xmlns:xs="http://www.w3.org/2001/XMLSchema" xmlns:p="http://schemas.microsoft.com/office/2006/metadata/properties" xmlns:ns1="http://schemas.microsoft.com/sharepoint/v3" xmlns:ns2="5b65bf0e-7081-4583-b2f5-8a330c0c8789" xmlns:ns3="93da8161-ddec-478b-86a1-c05e0c16f3e7" targetNamespace="http://schemas.microsoft.com/office/2006/metadata/properties" ma:root="true" ma:fieldsID="a6737f276dd61d11fdd58d167ba38647" ns1:_="" ns2:_="" ns3:_="">
    <xsd:import namespace="http://schemas.microsoft.com/sharepoint/v3"/>
    <xsd:import namespace="5b65bf0e-7081-4583-b2f5-8a330c0c8789"/>
    <xsd:import namespace="93da8161-ddec-478b-86a1-c05e0c16f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5bf0e-7081-4583-b2f5-8a330c0c8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fad90-6dc3-49fc-bfc6-9b048e3e06e5}" ma:internalName="TaxCatchAll" ma:showField="CatchAllData" ma:web="5b65bf0e-7081-4583-b2f5-8a330c0c87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a8161-ddec-478b-86a1-c05e0c16f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13B57-F05C-4999-AE54-B5F2ACBF52D9}">
  <ds:schemaRefs>
    <ds:schemaRef ds:uri="http://schemas.microsoft.com/office/2006/metadata/properties"/>
    <ds:schemaRef ds:uri="http://schemas.microsoft.com/office/infopath/2007/PartnerControls"/>
    <ds:schemaRef ds:uri="http://schemas.microsoft.com/sharepoint/v3"/>
    <ds:schemaRef ds:uri="5b65bf0e-7081-4583-b2f5-8a330c0c8789"/>
    <ds:schemaRef ds:uri="93da8161-ddec-478b-86a1-c05e0c16f3e7"/>
  </ds:schemaRefs>
</ds:datastoreItem>
</file>

<file path=customXml/itemProps2.xml><?xml version="1.0" encoding="utf-8"?>
<ds:datastoreItem xmlns:ds="http://schemas.openxmlformats.org/officeDocument/2006/customXml" ds:itemID="{192A849D-41A3-4782-92B8-7D281D721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65bf0e-7081-4583-b2f5-8a330c0c8789"/>
    <ds:schemaRef ds:uri="93da8161-ddec-478b-86a1-c05e0c16f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61476-3B91-477A-B0B9-F44A0E9735D0}">
  <ds:schemaRefs>
    <ds:schemaRef ds:uri="http://schemas.openxmlformats.org/officeDocument/2006/bibliography"/>
  </ds:schemaRefs>
</ds:datastoreItem>
</file>

<file path=customXml/itemProps4.xml><?xml version="1.0" encoding="utf-8"?>
<ds:datastoreItem xmlns:ds="http://schemas.openxmlformats.org/officeDocument/2006/customXml" ds:itemID="{DF82265B-53C7-4C65-8FBB-38CA844AFF70}">
  <ds:schemaRefs>
    <ds:schemaRef ds:uri="http://schemas.microsoft.com/sharepoint/events"/>
  </ds:schemaRefs>
</ds:datastoreItem>
</file>

<file path=customXml/itemProps5.xml><?xml version="1.0" encoding="utf-8"?>
<ds:datastoreItem xmlns:ds="http://schemas.openxmlformats.org/officeDocument/2006/customXml" ds:itemID="{0C2D1EC0-2FE3-44C8-8127-0536D0AA2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1961</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 R A F T</vt:lpstr>
    </vt:vector>
  </TitlesOfParts>
  <Company>Dundee City Council</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subject/>
  <dc:creator>Finance Department</dc:creator>
  <cp:keywords/>
  <cp:lastModifiedBy>Tracey Russell</cp:lastModifiedBy>
  <cp:revision>64</cp:revision>
  <cp:lastPrinted>2013-04-01T15:48:00Z</cp:lastPrinted>
  <dcterms:created xsi:type="dcterms:W3CDTF">2025-07-07T10:23:00Z</dcterms:created>
  <dcterms:modified xsi:type="dcterms:W3CDTF">2025-08-28T11:03:00Z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0x010100FC096AEE0C4BB34692BC407FB68CD074</vt:lpwstr>
  </property>
  <property fmtid="{D5CDD505-2E9C-101B-9397-08002B2CF9AE}" pid="3" name="MediaServiceImageTags">
    <vt:lpwstr/>
  </property>
  <property fmtid="{D5CDD505-2E9C-101B-9397-08002B2CF9AE}" pid="4" name="_dlc_DocIdItemGuid">
    <vt:lpwstr>7c8f822b-4a46-4ec6-bd74-6a22f7922a6f</vt:lpwstr>
  </property>
</Properties>
</file>