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4E530" w14:textId="42164E29" w:rsidR="00885AED" w:rsidRPr="00384792" w:rsidRDefault="00885AED" w:rsidP="00BE2376">
      <w:pPr>
        <w:pStyle w:val="Heading3"/>
        <w:ind w:left="1797" w:hanging="1797"/>
        <w:jc w:val="left"/>
        <w:rPr>
          <w:rFonts w:cs="Arial"/>
          <w:sz w:val="20"/>
        </w:rPr>
      </w:pPr>
      <w:r w:rsidRPr="00384792">
        <w:rPr>
          <w:rFonts w:cs="Arial"/>
          <w:sz w:val="20"/>
        </w:rPr>
        <w:t>REPORT TO:</w:t>
      </w:r>
      <w:r w:rsidR="00793291" w:rsidRPr="00384792">
        <w:rPr>
          <w:rFonts w:cs="Arial"/>
          <w:sz w:val="20"/>
        </w:rPr>
        <w:t xml:space="preserve"> </w:t>
      </w:r>
      <w:r w:rsidR="00793291" w:rsidRPr="00384792">
        <w:rPr>
          <w:rFonts w:cs="Arial"/>
          <w:sz w:val="20"/>
        </w:rPr>
        <w:tab/>
      </w:r>
      <w:r w:rsidR="00512CC2" w:rsidRPr="00384792">
        <w:rPr>
          <w:rFonts w:cs="Arial"/>
          <w:sz w:val="20"/>
        </w:rPr>
        <w:t xml:space="preserve">PENSION SUB-COMMITTEE OF THE </w:t>
      </w:r>
      <w:r w:rsidR="00CC1D17" w:rsidRPr="00384792">
        <w:rPr>
          <w:rFonts w:cs="Arial"/>
          <w:sz w:val="20"/>
        </w:rPr>
        <w:t xml:space="preserve">CITY GOVERNANCE </w:t>
      </w:r>
      <w:r w:rsidR="00512CC2" w:rsidRPr="00384792">
        <w:rPr>
          <w:rFonts w:cs="Arial"/>
          <w:sz w:val="20"/>
        </w:rPr>
        <w:t xml:space="preserve">COMMITTEE &amp; PENSION BOARD </w:t>
      </w:r>
      <w:r w:rsidR="00414575" w:rsidRPr="00384792">
        <w:rPr>
          <w:rFonts w:cs="Arial"/>
          <w:sz w:val="20"/>
        </w:rPr>
        <w:t>–</w:t>
      </w:r>
      <w:r w:rsidR="00512CC2" w:rsidRPr="00384792">
        <w:rPr>
          <w:rFonts w:cs="Arial"/>
          <w:sz w:val="20"/>
        </w:rPr>
        <w:t xml:space="preserve"> </w:t>
      </w:r>
      <w:r w:rsidR="00793291" w:rsidRPr="00384792">
        <w:rPr>
          <w:rFonts w:cs="Arial"/>
          <w:sz w:val="20"/>
        </w:rPr>
        <w:t>2</w:t>
      </w:r>
      <w:r w:rsidR="00FE4CFB" w:rsidRPr="00384792">
        <w:rPr>
          <w:rFonts w:cs="Arial"/>
          <w:sz w:val="20"/>
        </w:rPr>
        <w:t>2</w:t>
      </w:r>
      <w:r w:rsidR="00414575" w:rsidRPr="00384792">
        <w:rPr>
          <w:rFonts w:cs="Arial"/>
          <w:sz w:val="20"/>
        </w:rPr>
        <w:t xml:space="preserve"> SEPTEMBER</w:t>
      </w:r>
      <w:r w:rsidR="00512CC2" w:rsidRPr="00384792">
        <w:rPr>
          <w:rFonts w:cs="Arial"/>
          <w:sz w:val="20"/>
        </w:rPr>
        <w:t xml:space="preserve"> 20</w:t>
      </w:r>
      <w:r w:rsidR="00520F86" w:rsidRPr="00384792">
        <w:rPr>
          <w:rFonts w:cs="Arial"/>
          <w:sz w:val="20"/>
        </w:rPr>
        <w:t>2</w:t>
      </w:r>
      <w:r w:rsidR="00FE4CFB" w:rsidRPr="00384792">
        <w:rPr>
          <w:rFonts w:cs="Arial"/>
          <w:sz w:val="20"/>
        </w:rPr>
        <w:t>5</w:t>
      </w:r>
    </w:p>
    <w:p w14:paraId="6AA90A4C" w14:textId="77777777" w:rsidR="00512CC2" w:rsidRPr="00384792" w:rsidRDefault="00512CC2" w:rsidP="00957EEB">
      <w:pPr>
        <w:ind w:left="1800" w:hanging="1800"/>
        <w:rPr>
          <w:rFonts w:cs="Arial"/>
          <w:b/>
          <w:sz w:val="20"/>
          <w:u w:val="single"/>
        </w:rPr>
      </w:pPr>
    </w:p>
    <w:p w14:paraId="71FCF7B9" w14:textId="46714567" w:rsidR="00885AED" w:rsidRPr="00384792" w:rsidRDefault="00885AED" w:rsidP="146AC38E">
      <w:pPr>
        <w:pStyle w:val="Heading3"/>
        <w:spacing w:line="259" w:lineRule="auto"/>
        <w:ind w:left="1797" w:hanging="1797"/>
        <w:jc w:val="left"/>
        <w:rPr>
          <w:rFonts w:cs="Arial"/>
          <w:sz w:val="20"/>
        </w:rPr>
      </w:pPr>
      <w:r w:rsidRPr="00384792">
        <w:rPr>
          <w:rFonts w:cs="Arial"/>
          <w:bCs/>
          <w:sz w:val="20"/>
        </w:rPr>
        <w:t>REPORT ON:</w:t>
      </w:r>
      <w:r w:rsidRPr="00384792">
        <w:rPr>
          <w:rFonts w:cs="Arial"/>
          <w:sz w:val="20"/>
        </w:rPr>
        <w:tab/>
      </w:r>
      <w:r w:rsidR="00075075" w:rsidRPr="00384792">
        <w:rPr>
          <w:rFonts w:cs="Arial"/>
          <w:bCs/>
          <w:sz w:val="20"/>
        </w:rPr>
        <w:t>ANNUAL T</w:t>
      </w:r>
      <w:r w:rsidR="003779BC" w:rsidRPr="00384792">
        <w:rPr>
          <w:rFonts w:cs="Arial"/>
          <w:bCs/>
          <w:sz w:val="20"/>
        </w:rPr>
        <w:t>REASU</w:t>
      </w:r>
      <w:r w:rsidR="009C5515" w:rsidRPr="00384792">
        <w:rPr>
          <w:rFonts w:cs="Arial"/>
          <w:bCs/>
          <w:sz w:val="20"/>
        </w:rPr>
        <w:t xml:space="preserve">RY MANAGEMENT ACTIVITY </w:t>
      </w:r>
      <w:r w:rsidR="00492FC8" w:rsidRPr="00384792">
        <w:rPr>
          <w:rFonts w:cs="Arial"/>
          <w:bCs/>
          <w:sz w:val="20"/>
        </w:rPr>
        <w:t>20</w:t>
      </w:r>
      <w:r w:rsidR="00DB1CE4" w:rsidRPr="00384792">
        <w:rPr>
          <w:rFonts w:cs="Arial"/>
          <w:bCs/>
          <w:sz w:val="20"/>
        </w:rPr>
        <w:t>2</w:t>
      </w:r>
      <w:r w:rsidR="00FE4CFB" w:rsidRPr="00384792">
        <w:rPr>
          <w:rFonts w:cs="Arial"/>
          <w:bCs/>
          <w:sz w:val="20"/>
        </w:rPr>
        <w:t>4</w:t>
      </w:r>
      <w:r w:rsidR="00D33D9D" w:rsidRPr="00384792">
        <w:rPr>
          <w:rFonts w:cs="Arial"/>
          <w:bCs/>
          <w:sz w:val="20"/>
        </w:rPr>
        <w:t>/</w:t>
      </w:r>
      <w:r w:rsidR="00942DD1" w:rsidRPr="00384792">
        <w:rPr>
          <w:rFonts w:cs="Arial"/>
          <w:bCs/>
          <w:sz w:val="20"/>
        </w:rPr>
        <w:t>20</w:t>
      </w:r>
      <w:r w:rsidR="00520F86" w:rsidRPr="00384792">
        <w:rPr>
          <w:rFonts w:cs="Arial"/>
          <w:bCs/>
          <w:sz w:val="20"/>
        </w:rPr>
        <w:t>2</w:t>
      </w:r>
      <w:r w:rsidR="00FE4CFB" w:rsidRPr="00384792">
        <w:rPr>
          <w:rFonts w:cs="Arial"/>
          <w:bCs/>
          <w:sz w:val="20"/>
        </w:rPr>
        <w:t>5</w:t>
      </w:r>
    </w:p>
    <w:p w14:paraId="10B8668D" w14:textId="77777777" w:rsidR="00885AED" w:rsidRPr="00384792" w:rsidRDefault="00885AED" w:rsidP="00957EEB">
      <w:pPr>
        <w:ind w:left="1800" w:hanging="1800"/>
        <w:rPr>
          <w:rFonts w:cs="Arial"/>
          <w:b/>
          <w:bCs/>
          <w:sz w:val="20"/>
        </w:rPr>
      </w:pPr>
    </w:p>
    <w:p w14:paraId="0D42E9E5" w14:textId="77777777" w:rsidR="00885AED" w:rsidRPr="00384792" w:rsidRDefault="00885AED" w:rsidP="146AC38E">
      <w:pPr>
        <w:pStyle w:val="Heading3"/>
        <w:spacing w:line="259" w:lineRule="auto"/>
        <w:ind w:left="1797" w:hanging="1797"/>
        <w:jc w:val="left"/>
        <w:rPr>
          <w:rFonts w:cs="Arial"/>
          <w:bCs/>
          <w:sz w:val="20"/>
        </w:rPr>
      </w:pPr>
      <w:r w:rsidRPr="00384792">
        <w:rPr>
          <w:rFonts w:cs="Arial"/>
          <w:bCs/>
          <w:sz w:val="20"/>
        </w:rPr>
        <w:t>REPORT BY:</w:t>
      </w:r>
      <w:r w:rsidRPr="00384792">
        <w:rPr>
          <w:rFonts w:cs="Arial"/>
          <w:sz w:val="20"/>
        </w:rPr>
        <w:tab/>
      </w:r>
      <w:r w:rsidR="00732305" w:rsidRPr="00384792">
        <w:rPr>
          <w:rFonts w:cs="Arial"/>
          <w:bCs/>
          <w:sz w:val="20"/>
        </w:rPr>
        <w:t xml:space="preserve">EXECUTIVE </w:t>
      </w:r>
      <w:r w:rsidR="00C02AEB" w:rsidRPr="00384792">
        <w:rPr>
          <w:rFonts w:cs="Arial"/>
          <w:bCs/>
          <w:sz w:val="20"/>
        </w:rPr>
        <w:t>DIRECTOR</w:t>
      </w:r>
      <w:r w:rsidR="009C5515" w:rsidRPr="00384792">
        <w:rPr>
          <w:rFonts w:cs="Arial"/>
          <w:bCs/>
          <w:sz w:val="20"/>
        </w:rPr>
        <w:t xml:space="preserve"> OF CORPORATE SERVICES</w:t>
      </w:r>
    </w:p>
    <w:p w14:paraId="5B13B248" w14:textId="77777777" w:rsidR="00885AED" w:rsidRPr="00384792" w:rsidRDefault="00885AED" w:rsidP="00957EEB">
      <w:pPr>
        <w:ind w:left="1800" w:hanging="1800"/>
        <w:rPr>
          <w:rFonts w:cs="Arial"/>
          <w:b/>
          <w:bCs/>
          <w:sz w:val="20"/>
        </w:rPr>
      </w:pPr>
    </w:p>
    <w:p w14:paraId="1DAB67EC" w14:textId="03D38104" w:rsidR="00885AED" w:rsidRPr="00384792" w:rsidRDefault="00885AED" w:rsidP="146AC38E">
      <w:pPr>
        <w:pStyle w:val="Heading3"/>
        <w:spacing w:line="259" w:lineRule="auto"/>
        <w:ind w:left="1797" w:hanging="1797"/>
        <w:jc w:val="left"/>
        <w:rPr>
          <w:rFonts w:cs="Arial"/>
          <w:bCs/>
          <w:sz w:val="20"/>
        </w:rPr>
      </w:pPr>
      <w:r w:rsidRPr="00384792">
        <w:rPr>
          <w:rFonts w:cs="Arial"/>
          <w:bCs/>
          <w:sz w:val="20"/>
        </w:rPr>
        <w:t>REPORT NO:</w:t>
      </w:r>
      <w:r w:rsidRPr="00384792">
        <w:rPr>
          <w:rFonts w:cs="Arial"/>
          <w:sz w:val="20"/>
        </w:rPr>
        <w:tab/>
      </w:r>
      <w:r w:rsidR="0001367B" w:rsidRPr="00384792">
        <w:rPr>
          <w:rFonts w:cs="Arial"/>
          <w:bCs/>
          <w:sz w:val="20"/>
        </w:rPr>
        <w:t>262</w:t>
      </w:r>
      <w:r w:rsidR="0039728E" w:rsidRPr="00384792">
        <w:rPr>
          <w:rFonts w:cs="Arial"/>
          <w:bCs/>
          <w:sz w:val="20"/>
        </w:rPr>
        <w:t>-20</w:t>
      </w:r>
      <w:r w:rsidR="00520F86" w:rsidRPr="00384792">
        <w:rPr>
          <w:rFonts w:cs="Arial"/>
          <w:bCs/>
          <w:sz w:val="20"/>
        </w:rPr>
        <w:t>2</w:t>
      </w:r>
      <w:r w:rsidR="00FE4CFB" w:rsidRPr="00384792">
        <w:rPr>
          <w:rFonts w:cs="Arial"/>
          <w:bCs/>
          <w:sz w:val="20"/>
        </w:rPr>
        <w:t>5</w:t>
      </w:r>
    </w:p>
    <w:p w14:paraId="53BE9490" w14:textId="77777777" w:rsidR="001D1BCF" w:rsidRPr="00384792" w:rsidRDefault="001D1BCF">
      <w:pPr>
        <w:tabs>
          <w:tab w:val="left" w:pos="1880"/>
        </w:tabs>
        <w:rPr>
          <w:rFonts w:cs="Arial"/>
          <w:bCs/>
          <w:sz w:val="20"/>
          <w:u w:val="single"/>
        </w:rPr>
      </w:pPr>
    </w:p>
    <w:p w14:paraId="51562B42" w14:textId="77777777" w:rsidR="00885AED" w:rsidRPr="00384792" w:rsidRDefault="00885AED" w:rsidP="00D5455C">
      <w:pPr>
        <w:tabs>
          <w:tab w:val="left" w:pos="6120"/>
          <w:tab w:val="left" w:pos="7380"/>
        </w:tabs>
        <w:ind w:left="720" w:hanging="720"/>
        <w:jc w:val="both"/>
        <w:rPr>
          <w:rFonts w:cs="Arial"/>
          <w:sz w:val="20"/>
        </w:rPr>
      </w:pPr>
      <w:r w:rsidRPr="00384792">
        <w:rPr>
          <w:rFonts w:cs="Arial"/>
          <w:b/>
          <w:sz w:val="20"/>
        </w:rPr>
        <w:t>1</w:t>
      </w:r>
      <w:r w:rsidRPr="00384792">
        <w:rPr>
          <w:rFonts w:cs="Arial"/>
          <w:sz w:val="20"/>
        </w:rPr>
        <w:tab/>
      </w:r>
      <w:r w:rsidRPr="00384792">
        <w:rPr>
          <w:rFonts w:cs="Arial"/>
          <w:b/>
          <w:sz w:val="20"/>
        </w:rPr>
        <w:t>PURPOSE OF REPORT</w:t>
      </w:r>
    </w:p>
    <w:p w14:paraId="71C65FBC" w14:textId="77777777" w:rsidR="00885AED" w:rsidRPr="00384792" w:rsidRDefault="00885AED" w:rsidP="00D5455C">
      <w:pPr>
        <w:tabs>
          <w:tab w:val="left" w:pos="6120"/>
          <w:tab w:val="left" w:pos="7380"/>
        </w:tabs>
        <w:ind w:left="720" w:hanging="720"/>
        <w:jc w:val="both"/>
        <w:rPr>
          <w:rFonts w:cs="Arial"/>
          <w:sz w:val="20"/>
        </w:rPr>
      </w:pPr>
    </w:p>
    <w:p w14:paraId="6253AA8D" w14:textId="17B1FD46" w:rsidR="00885AED" w:rsidRPr="00384792" w:rsidRDefault="00075075" w:rsidP="146AC38E">
      <w:pPr>
        <w:tabs>
          <w:tab w:val="left" w:pos="6120"/>
          <w:tab w:val="left" w:pos="7380"/>
        </w:tabs>
        <w:ind w:left="720"/>
        <w:jc w:val="both"/>
        <w:rPr>
          <w:rFonts w:cs="Arial"/>
          <w:sz w:val="20"/>
        </w:rPr>
      </w:pPr>
      <w:r w:rsidRPr="00384792">
        <w:rPr>
          <w:rFonts w:cs="Arial"/>
          <w:sz w:val="20"/>
        </w:rPr>
        <w:t>To review the Treasury Management activities for the period 1</w:t>
      </w:r>
      <w:r w:rsidR="00824CC9" w:rsidRPr="00384792">
        <w:rPr>
          <w:rFonts w:cs="Arial"/>
          <w:sz w:val="20"/>
        </w:rPr>
        <w:t xml:space="preserve"> </w:t>
      </w:r>
      <w:r w:rsidRPr="00384792">
        <w:rPr>
          <w:rFonts w:cs="Arial"/>
          <w:sz w:val="20"/>
        </w:rPr>
        <w:t>Ap</w:t>
      </w:r>
      <w:r w:rsidR="009C5515" w:rsidRPr="00384792">
        <w:rPr>
          <w:rFonts w:cs="Arial"/>
          <w:sz w:val="20"/>
        </w:rPr>
        <w:t>ril 20</w:t>
      </w:r>
      <w:r w:rsidR="00DB1CE4" w:rsidRPr="00384792">
        <w:rPr>
          <w:rFonts w:cs="Arial"/>
          <w:sz w:val="20"/>
        </w:rPr>
        <w:t>2</w:t>
      </w:r>
      <w:r w:rsidR="00FE4CFB" w:rsidRPr="00384792">
        <w:rPr>
          <w:rFonts w:cs="Arial"/>
          <w:sz w:val="20"/>
        </w:rPr>
        <w:t>4</w:t>
      </w:r>
      <w:r w:rsidR="00793291" w:rsidRPr="00384792">
        <w:rPr>
          <w:rFonts w:cs="Arial"/>
          <w:sz w:val="20"/>
        </w:rPr>
        <w:t xml:space="preserve"> </w:t>
      </w:r>
      <w:r w:rsidR="009C5515" w:rsidRPr="00384792">
        <w:rPr>
          <w:rFonts w:cs="Arial"/>
          <w:sz w:val="20"/>
        </w:rPr>
        <w:t>to 31</w:t>
      </w:r>
      <w:r w:rsidR="00824CC9" w:rsidRPr="00384792">
        <w:rPr>
          <w:rFonts w:cs="Arial"/>
          <w:sz w:val="20"/>
        </w:rPr>
        <w:t xml:space="preserve"> </w:t>
      </w:r>
      <w:r w:rsidR="009C5515" w:rsidRPr="00384792">
        <w:rPr>
          <w:rFonts w:cs="Arial"/>
          <w:sz w:val="20"/>
        </w:rPr>
        <w:t>March 20</w:t>
      </w:r>
      <w:r w:rsidR="00520F86" w:rsidRPr="00384792">
        <w:rPr>
          <w:rFonts w:cs="Arial"/>
          <w:sz w:val="20"/>
        </w:rPr>
        <w:t>2</w:t>
      </w:r>
      <w:r w:rsidR="00FE4CFB" w:rsidRPr="00384792">
        <w:rPr>
          <w:rFonts w:cs="Arial"/>
          <w:sz w:val="20"/>
        </w:rPr>
        <w:t>5</w:t>
      </w:r>
      <w:r w:rsidRPr="00384792">
        <w:rPr>
          <w:rFonts w:cs="Arial"/>
          <w:sz w:val="20"/>
        </w:rPr>
        <w:t>.</w:t>
      </w:r>
    </w:p>
    <w:p w14:paraId="3EC2DBC8" w14:textId="77777777" w:rsidR="00740566" w:rsidRPr="00384792" w:rsidRDefault="00740566" w:rsidP="00D5455C">
      <w:pPr>
        <w:tabs>
          <w:tab w:val="left" w:pos="6120"/>
          <w:tab w:val="left" w:pos="7380"/>
        </w:tabs>
        <w:ind w:left="720" w:hanging="720"/>
        <w:jc w:val="both"/>
        <w:rPr>
          <w:rFonts w:cs="Arial"/>
          <w:sz w:val="20"/>
        </w:rPr>
      </w:pPr>
    </w:p>
    <w:p w14:paraId="54766B76" w14:textId="77777777" w:rsidR="00885AED" w:rsidRPr="00384792" w:rsidRDefault="00885AED" w:rsidP="00D5455C">
      <w:pPr>
        <w:tabs>
          <w:tab w:val="left" w:pos="709"/>
          <w:tab w:val="left" w:pos="6120"/>
          <w:tab w:val="left" w:pos="7380"/>
        </w:tabs>
        <w:jc w:val="both"/>
        <w:rPr>
          <w:rFonts w:cs="Arial"/>
          <w:sz w:val="20"/>
        </w:rPr>
      </w:pPr>
      <w:r w:rsidRPr="00384792">
        <w:rPr>
          <w:rFonts w:cs="Arial"/>
          <w:b/>
          <w:sz w:val="20"/>
        </w:rPr>
        <w:t>2</w:t>
      </w:r>
      <w:r w:rsidRPr="00384792">
        <w:rPr>
          <w:rFonts w:cs="Arial"/>
          <w:sz w:val="20"/>
        </w:rPr>
        <w:tab/>
      </w:r>
      <w:r w:rsidRPr="00384792">
        <w:rPr>
          <w:rFonts w:cs="Arial"/>
          <w:b/>
          <w:sz w:val="20"/>
        </w:rPr>
        <w:t>RECOMMENDATION</w:t>
      </w:r>
    </w:p>
    <w:p w14:paraId="5E05659B" w14:textId="6CF242C3" w:rsidR="00885AED" w:rsidRPr="00384792" w:rsidRDefault="00885AED" w:rsidP="146AC38E">
      <w:pPr>
        <w:tabs>
          <w:tab w:val="left" w:pos="6120"/>
          <w:tab w:val="left" w:pos="7380"/>
        </w:tabs>
        <w:ind w:left="720" w:hanging="720"/>
        <w:jc w:val="both"/>
        <w:rPr>
          <w:rFonts w:cs="Arial"/>
          <w:sz w:val="20"/>
        </w:rPr>
      </w:pPr>
    </w:p>
    <w:p w14:paraId="1017E00D" w14:textId="77777777" w:rsidR="00885AED" w:rsidRPr="00384792" w:rsidRDefault="00075075" w:rsidP="00451B72">
      <w:pPr>
        <w:pStyle w:val="BodyTextIndent3"/>
        <w:tabs>
          <w:tab w:val="clear" w:pos="6120"/>
          <w:tab w:val="left" w:pos="1418"/>
        </w:tabs>
        <w:rPr>
          <w:rFonts w:cs="Arial"/>
          <w:sz w:val="20"/>
          <w:highlight w:val="yellow"/>
        </w:rPr>
      </w:pPr>
      <w:r w:rsidRPr="00384792">
        <w:rPr>
          <w:rFonts w:cs="Arial"/>
          <w:sz w:val="20"/>
        </w:rPr>
        <w:t xml:space="preserve">The Committee is asked to note the information contained </w:t>
      </w:r>
      <w:r w:rsidR="00451B72" w:rsidRPr="00384792">
        <w:rPr>
          <w:rFonts w:cs="Arial"/>
          <w:sz w:val="20"/>
        </w:rPr>
        <w:t>within this report.</w:t>
      </w:r>
    </w:p>
    <w:p w14:paraId="7EFB060C" w14:textId="77777777" w:rsidR="00885AED" w:rsidRPr="00384792" w:rsidRDefault="00885AED" w:rsidP="00D5455C">
      <w:pPr>
        <w:tabs>
          <w:tab w:val="left" w:pos="6120"/>
          <w:tab w:val="left" w:pos="7380"/>
        </w:tabs>
        <w:jc w:val="both"/>
        <w:rPr>
          <w:rFonts w:cs="Arial"/>
          <w:sz w:val="20"/>
        </w:rPr>
      </w:pPr>
    </w:p>
    <w:p w14:paraId="7F23E474" w14:textId="77777777" w:rsidR="00885AED" w:rsidRPr="00384792" w:rsidRDefault="000C5D35" w:rsidP="00D5455C">
      <w:pPr>
        <w:pStyle w:val="Heading3"/>
        <w:tabs>
          <w:tab w:val="left" w:pos="720"/>
        </w:tabs>
        <w:ind w:left="0" w:firstLine="0"/>
        <w:rPr>
          <w:rFonts w:cs="Arial"/>
          <w:sz w:val="20"/>
        </w:rPr>
      </w:pPr>
      <w:r w:rsidRPr="00384792">
        <w:rPr>
          <w:rFonts w:cs="Arial"/>
          <w:sz w:val="20"/>
        </w:rPr>
        <w:t>3</w:t>
      </w:r>
      <w:r w:rsidR="00885AED" w:rsidRPr="00384792">
        <w:rPr>
          <w:rFonts w:cs="Arial"/>
          <w:sz w:val="20"/>
        </w:rPr>
        <w:tab/>
      </w:r>
      <w:r w:rsidR="00075075" w:rsidRPr="00384792">
        <w:rPr>
          <w:rFonts w:cs="Arial"/>
          <w:sz w:val="20"/>
        </w:rPr>
        <w:t>FINANCIAL IMPLICATIONS</w:t>
      </w:r>
    </w:p>
    <w:p w14:paraId="1F003E23" w14:textId="77777777" w:rsidR="00075075" w:rsidRPr="00384792" w:rsidRDefault="00075075" w:rsidP="00D5455C">
      <w:pPr>
        <w:jc w:val="both"/>
        <w:rPr>
          <w:rFonts w:cs="Arial"/>
          <w:sz w:val="20"/>
        </w:rPr>
      </w:pPr>
    </w:p>
    <w:p w14:paraId="675C9243" w14:textId="7A14C6BC" w:rsidR="00075075" w:rsidRPr="00384792" w:rsidRDefault="00075075" w:rsidP="146AC38E">
      <w:pPr>
        <w:ind w:left="720"/>
        <w:jc w:val="both"/>
        <w:rPr>
          <w:rFonts w:cs="Arial"/>
          <w:sz w:val="20"/>
        </w:rPr>
      </w:pPr>
      <w:r w:rsidRPr="00384792">
        <w:rPr>
          <w:rFonts w:cs="Arial"/>
          <w:sz w:val="20"/>
        </w:rPr>
        <w:t xml:space="preserve">The </w:t>
      </w:r>
      <w:r w:rsidR="00B206D0" w:rsidRPr="00384792">
        <w:rPr>
          <w:rFonts w:cs="Arial"/>
          <w:sz w:val="20"/>
        </w:rPr>
        <w:t>Fund</w:t>
      </w:r>
      <w:r w:rsidRPr="00384792">
        <w:rPr>
          <w:rFonts w:cs="Arial"/>
          <w:sz w:val="20"/>
        </w:rPr>
        <w:t xml:space="preserve">'s </w:t>
      </w:r>
      <w:r w:rsidR="006275E8" w:rsidRPr="00384792">
        <w:rPr>
          <w:rFonts w:cs="Arial"/>
          <w:sz w:val="20"/>
        </w:rPr>
        <w:t xml:space="preserve">internal </w:t>
      </w:r>
      <w:r w:rsidRPr="00384792">
        <w:rPr>
          <w:rFonts w:cs="Arial"/>
          <w:sz w:val="20"/>
        </w:rPr>
        <w:t>Treasury Management activitie</w:t>
      </w:r>
      <w:r w:rsidR="009C5515" w:rsidRPr="00384792">
        <w:rPr>
          <w:rFonts w:cs="Arial"/>
          <w:sz w:val="20"/>
        </w:rPr>
        <w:t xml:space="preserve">s in </w:t>
      </w:r>
      <w:r w:rsidR="00492FC8" w:rsidRPr="00384792">
        <w:rPr>
          <w:rFonts w:cs="Arial"/>
          <w:sz w:val="20"/>
        </w:rPr>
        <w:t>20</w:t>
      </w:r>
      <w:r w:rsidR="00DB1CE4" w:rsidRPr="00384792">
        <w:rPr>
          <w:rFonts w:cs="Arial"/>
          <w:sz w:val="20"/>
        </w:rPr>
        <w:t>2</w:t>
      </w:r>
      <w:r w:rsidR="00FE4CFB" w:rsidRPr="00384792">
        <w:rPr>
          <w:rFonts w:cs="Arial"/>
          <w:sz w:val="20"/>
        </w:rPr>
        <w:t>4</w:t>
      </w:r>
      <w:r w:rsidR="00492FC8" w:rsidRPr="00384792">
        <w:rPr>
          <w:rFonts w:cs="Arial"/>
          <w:sz w:val="20"/>
        </w:rPr>
        <w:t>/20</w:t>
      </w:r>
      <w:r w:rsidR="00520F86" w:rsidRPr="00384792">
        <w:rPr>
          <w:rFonts w:cs="Arial"/>
          <w:sz w:val="20"/>
        </w:rPr>
        <w:t>2</w:t>
      </w:r>
      <w:r w:rsidR="00FE4CFB" w:rsidRPr="00384792">
        <w:rPr>
          <w:rFonts w:cs="Arial"/>
          <w:sz w:val="20"/>
        </w:rPr>
        <w:t>5</w:t>
      </w:r>
      <w:r w:rsidRPr="00384792">
        <w:rPr>
          <w:rFonts w:cs="Arial"/>
          <w:sz w:val="20"/>
        </w:rPr>
        <w:t xml:space="preserve"> </w:t>
      </w:r>
      <w:r w:rsidR="004C0E7C" w:rsidRPr="00384792">
        <w:rPr>
          <w:rFonts w:cs="Arial"/>
          <w:sz w:val="20"/>
        </w:rPr>
        <w:t xml:space="preserve">achieved </w:t>
      </w:r>
      <w:r w:rsidR="00B206D0" w:rsidRPr="00384792">
        <w:rPr>
          <w:rFonts w:cs="Arial"/>
          <w:sz w:val="20"/>
        </w:rPr>
        <w:t>income of £</w:t>
      </w:r>
      <w:r w:rsidR="0025096F" w:rsidRPr="00384792">
        <w:rPr>
          <w:rFonts w:cs="Arial"/>
          <w:sz w:val="20"/>
        </w:rPr>
        <w:t>980,611</w:t>
      </w:r>
      <w:r w:rsidR="00DB1CE4" w:rsidRPr="00384792">
        <w:rPr>
          <w:rFonts w:cs="Arial"/>
          <w:sz w:val="20"/>
        </w:rPr>
        <w:t>.</w:t>
      </w:r>
    </w:p>
    <w:p w14:paraId="65641477" w14:textId="77777777" w:rsidR="00782E1F" w:rsidRPr="00384792" w:rsidRDefault="00782E1F" w:rsidP="00D5455C">
      <w:pPr>
        <w:pStyle w:val="BodyTextIndent2"/>
        <w:tabs>
          <w:tab w:val="clear" w:pos="709"/>
        </w:tabs>
        <w:rPr>
          <w:rFonts w:cs="Arial"/>
          <w:sz w:val="20"/>
        </w:rPr>
      </w:pPr>
    </w:p>
    <w:p w14:paraId="375C198D" w14:textId="5FEAFF07" w:rsidR="000C5D35" w:rsidRPr="00384792" w:rsidRDefault="000C5D35" w:rsidP="146AC38E">
      <w:pPr>
        <w:pStyle w:val="Heading3"/>
        <w:tabs>
          <w:tab w:val="left" w:pos="720"/>
        </w:tabs>
        <w:ind w:left="0" w:firstLine="0"/>
        <w:rPr>
          <w:rFonts w:cs="Arial"/>
          <w:sz w:val="20"/>
        </w:rPr>
      </w:pPr>
      <w:r w:rsidRPr="00384792">
        <w:rPr>
          <w:rFonts w:cs="Arial"/>
          <w:bCs/>
          <w:sz w:val="20"/>
        </w:rPr>
        <w:t>4</w:t>
      </w:r>
      <w:r w:rsidRPr="00384792">
        <w:rPr>
          <w:rFonts w:cs="Arial"/>
          <w:sz w:val="20"/>
        </w:rPr>
        <w:tab/>
      </w:r>
      <w:r w:rsidR="49B38CC6" w:rsidRPr="00384792">
        <w:rPr>
          <w:rFonts w:cs="Arial"/>
          <w:bCs/>
          <w:sz w:val="20"/>
        </w:rPr>
        <w:t>BACKGROUND</w:t>
      </w:r>
    </w:p>
    <w:p w14:paraId="4B720A4C" w14:textId="774B2C88" w:rsidR="000C5D35" w:rsidRPr="00384792" w:rsidRDefault="000C5D35" w:rsidP="146AC38E">
      <w:pPr>
        <w:rPr>
          <w:rFonts w:cs="Arial"/>
          <w:sz w:val="20"/>
        </w:rPr>
      </w:pPr>
    </w:p>
    <w:p w14:paraId="7072EA1C" w14:textId="056454A0" w:rsidR="00BE1B9F" w:rsidRPr="00384792" w:rsidRDefault="00B84B43" w:rsidP="146AC38E">
      <w:pPr>
        <w:tabs>
          <w:tab w:val="left" w:pos="6120"/>
          <w:tab w:val="left" w:pos="7380"/>
        </w:tabs>
        <w:ind w:left="720"/>
        <w:jc w:val="both"/>
        <w:rPr>
          <w:rFonts w:cs="Arial"/>
          <w:sz w:val="20"/>
        </w:rPr>
      </w:pPr>
      <w:r w:rsidRPr="00384792">
        <w:rPr>
          <w:rFonts w:cs="Arial"/>
          <w:sz w:val="20"/>
        </w:rPr>
        <w:t xml:space="preserve">At its meeting on </w:t>
      </w:r>
      <w:r w:rsidR="001666C0" w:rsidRPr="00384792">
        <w:rPr>
          <w:rFonts w:cs="Arial"/>
          <w:sz w:val="20"/>
        </w:rPr>
        <w:t>18</w:t>
      </w:r>
      <w:r w:rsidR="009F4103" w:rsidRPr="00384792">
        <w:rPr>
          <w:rFonts w:cs="Arial"/>
          <w:sz w:val="20"/>
        </w:rPr>
        <w:t xml:space="preserve"> </w:t>
      </w:r>
      <w:r w:rsidR="00017DD5" w:rsidRPr="00384792">
        <w:rPr>
          <w:rFonts w:cs="Arial"/>
          <w:sz w:val="20"/>
        </w:rPr>
        <w:t>March</w:t>
      </w:r>
      <w:r w:rsidRPr="00384792">
        <w:rPr>
          <w:rFonts w:cs="Arial"/>
          <w:sz w:val="20"/>
        </w:rPr>
        <w:t xml:space="preserve"> 20</w:t>
      </w:r>
      <w:r w:rsidR="003F25DF" w:rsidRPr="00384792">
        <w:rPr>
          <w:rFonts w:cs="Arial"/>
          <w:sz w:val="20"/>
        </w:rPr>
        <w:t>2</w:t>
      </w:r>
      <w:r w:rsidR="001666C0" w:rsidRPr="00384792">
        <w:rPr>
          <w:rFonts w:cs="Arial"/>
          <w:sz w:val="20"/>
        </w:rPr>
        <w:t>4</w:t>
      </w:r>
      <w:r w:rsidR="00075075" w:rsidRPr="00384792">
        <w:rPr>
          <w:rFonts w:cs="Arial"/>
          <w:sz w:val="20"/>
        </w:rPr>
        <w:t xml:space="preserve"> the </w:t>
      </w:r>
      <w:r w:rsidR="00451B72" w:rsidRPr="00384792">
        <w:rPr>
          <w:rFonts w:cs="Arial"/>
          <w:sz w:val="20"/>
        </w:rPr>
        <w:t xml:space="preserve">Pension Sub-committee of the </w:t>
      </w:r>
      <w:r w:rsidR="0088342B" w:rsidRPr="00384792">
        <w:rPr>
          <w:rFonts w:cs="Arial"/>
          <w:sz w:val="20"/>
        </w:rPr>
        <w:t>City Governance</w:t>
      </w:r>
      <w:r w:rsidR="00075075" w:rsidRPr="00384792">
        <w:rPr>
          <w:rFonts w:cs="Arial"/>
          <w:sz w:val="20"/>
        </w:rPr>
        <w:t xml:space="preserve"> Committee approved the </w:t>
      </w:r>
      <w:r w:rsidR="00451B72" w:rsidRPr="00384792">
        <w:rPr>
          <w:rFonts w:cs="Arial"/>
          <w:sz w:val="20"/>
        </w:rPr>
        <w:t>Fund</w:t>
      </w:r>
      <w:r w:rsidR="00075075" w:rsidRPr="00384792">
        <w:rPr>
          <w:rFonts w:cs="Arial"/>
          <w:sz w:val="20"/>
        </w:rPr>
        <w:t xml:space="preserve">'s Treasury Policy Statement </w:t>
      </w:r>
      <w:r w:rsidR="00BE1B9F" w:rsidRPr="00384792">
        <w:rPr>
          <w:rFonts w:cs="Arial"/>
          <w:sz w:val="20"/>
        </w:rPr>
        <w:t xml:space="preserve">which </w:t>
      </w:r>
      <w:r w:rsidR="00075075" w:rsidRPr="00384792">
        <w:rPr>
          <w:rFonts w:cs="Arial"/>
          <w:sz w:val="20"/>
        </w:rPr>
        <w:t>set out the policies which govern</w:t>
      </w:r>
      <w:r w:rsidR="00BE1B9F" w:rsidRPr="00384792">
        <w:rPr>
          <w:rFonts w:cs="Arial"/>
          <w:sz w:val="20"/>
        </w:rPr>
        <w:t>ed</w:t>
      </w:r>
      <w:r w:rsidR="00075075" w:rsidRPr="00384792">
        <w:rPr>
          <w:rFonts w:cs="Arial"/>
          <w:sz w:val="20"/>
        </w:rPr>
        <w:t xml:space="preserve"> all </w:t>
      </w:r>
      <w:r w:rsidR="00AF354A" w:rsidRPr="00384792">
        <w:rPr>
          <w:rFonts w:cs="Arial"/>
          <w:sz w:val="20"/>
        </w:rPr>
        <w:t xml:space="preserve">treasury </w:t>
      </w:r>
      <w:r w:rsidR="00075075" w:rsidRPr="00384792">
        <w:rPr>
          <w:rFonts w:cs="Arial"/>
          <w:sz w:val="20"/>
        </w:rPr>
        <w:t xml:space="preserve">transactions carried out by the </w:t>
      </w:r>
      <w:r w:rsidR="00451B72" w:rsidRPr="00384792">
        <w:rPr>
          <w:rFonts w:cs="Arial"/>
          <w:sz w:val="20"/>
        </w:rPr>
        <w:t>Fund</w:t>
      </w:r>
      <w:r w:rsidR="00BE1B9F" w:rsidRPr="00384792">
        <w:rPr>
          <w:rFonts w:cs="Arial"/>
          <w:sz w:val="20"/>
        </w:rPr>
        <w:t xml:space="preserve"> during the financial year 20</w:t>
      </w:r>
      <w:r w:rsidR="003F25DF" w:rsidRPr="00384792">
        <w:rPr>
          <w:rFonts w:cs="Arial"/>
          <w:sz w:val="20"/>
        </w:rPr>
        <w:t>2</w:t>
      </w:r>
      <w:r w:rsidR="00AE02C3" w:rsidRPr="00384792">
        <w:rPr>
          <w:rFonts w:cs="Arial"/>
          <w:sz w:val="20"/>
        </w:rPr>
        <w:t>4</w:t>
      </w:r>
      <w:r w:rsidR="00BE1B9F" w:rsidRPr="00384792">
        <w:rPr>
          <w:rFonts w:cs="Arial"/>
          <w:sz w:val="20"/>
        </w:rPr>
        <w:t>/</w:t>
      </w:r>
      <w:r w:rsidR="0052670F" w:rsidRPr="00384792">
        <w:rPr>
          <w:rFonts w:cs="Arial"/>
          <w:sz w:val="20"/>
        </w:rPr>
        <w:t>2</w:t>
      </w:r>
      <w:r w:rsidR="00AE02C3" w:rsidRPr="00384792">
        <w:rPr>
          <w:rFonts w:cs="Arial"/>
          <w:sz w:val="20"/>
        </w:rPr>
        <w:t>5</w:t>
      </w:r>
      <w:r w:rsidR="00BE1B9F" w:rsidRPr="00384792">
        <w:rPr>
          <w:rFonts w:cs="Arial"/>
          <w:sz w:val="20"/>
        </w:rPr>
        <w:t xml:space="preserve"> (Article </w:t>
      </w:r>
      <w:r w:rsidR="0021133F" w:rsidRPr="00384792">
        <w:rPr>
          <w:rFonts w:cs="Arial"/>
          <w:sz w:val="20"/>
        </w:rPr>
        <w:t>X</w:t>
      </w:r>
      <w:r w:rsidR="00BE1B9F" w:rsidRPr="00384792">
        <w:rPr>
          <w:rFonts w:cs="Arial"/>
          <w:sz w:val="20"/>
        </w:rPr>
        <w:t xml:space="preserve"> of the Minute of Meeting of the Pension Sub-Committee of the </w:t>
      </w:r>
      <w:r w:rsidR="0088342B" w:rsidRPr="00384792">
        <w:rPr>
          <w:rFonts w:cs="Arial"/>
          <w:sz w:val="20"/>
        </w:rPr>
        <w:t>City Governance</w:t>
      </w:r>
      <w:r w:rsidR="00BE1B9F" w:rsidRPr="00384792">
        <w:rPr>
          <w:rFonts w:cs="Arial"/>
          <w:sz w:val="20"/>
        </w:rPr>
        <w:t xml:space="preserve"> of </w:t>
      </w:r>
      <w:r w:rsidR="0088342B" w:rsidRPr="00384792">
        <w:rPr>
          <w:rFonts w:cs="Arial"/>
          <w:sz w:val="20"/>
        </w:rPr>
        <w:t>18</w:t>
      </w:r>
      <w:r w:rsidR="009F4103" w:rsidRPr="00384792">
        <w:rPr>
          <w:rFonts w:cs="Arial"/>
          <w:sz w:val="20"/>
        </w:rPr>
        <w:t xml:space="preserve"> </w:t>
      </w:r>
      <w:r w:rsidR="00017DD5" w:rsidRPr="00384792">
        <w:rPr>
          <w:rFonts w:cs="Arial"/>
          <w:sz w:val="20"/>
        </w:rPr>
        <w:t>March</w:t>
      </w:r>
      <w:r w:rsidR="009F4103" w:rsidRPr="00384792">
        <w:rPr>
          <w:rFonts w:cs="Arial"/>
          <w:sz w:val="20"/>
        </w:rPr>
        <w:t xml:space="preserve"> 202</w:t>
      </w:r>
      <w:r w:rsidR="0088342B" w:rsidRPr="00384792">
        <w:rPr>
          <w:rFonts w:cs="Arial"/>
          <w:sz w:val="20"/>
        </w:rPr>
        <w:t>4</w:t>
      </w:r>
      <w:r w:rsidR="00BE1B9F" w:rsidRPr="00384792">
        <w:rPr>
          <w:rFonts w:cs="Arial"/>
          <w:sz w:val="20"/>
        </w:rPr>
        <w:t xml:space="preserve">, Report No </w:t>
      </w:r>
      <w:r w:rsidR="00AE02C3" w:rsidRPr="00384792">
        <w:rPr>
          <w:rFonts w:cs="Arial"/>
          <w:sz w:val="20"/>
        </w:rPr>
        <w:t>77</w:t>
      </w:r>
      <w:r w:rsidR="009F4103" w:rsidRPr="00384792">
        <w:rPr>
          <w:rFonts w:cs="Arial"/>
          <w:sz w:val="20"/>
        </w:rPr>
        <w:t>-202</w:t>
      </w:r>
      <w:r w:rsidR="00AE02C3" w:rsidRPr="00384792">
        <w:rPr>
          <w:rFonts w:cs="Arial"/>
          <w:sz w:val="20"/>
        </w:rPr>
        <w:t>4</w:t>
      </w:r>
      <w:r w:rsidR="00BE1B9F" w:rsidRPr="00384792">
        <w:rPr>
          <w:rFonts w:cs="Arial"/>
          <w:sz w:val="20"/>
        </w:rPr>
        <w:t xml:space="preserve"> refers). </w:t>
      </w:r>
    </w:p>
    <w:p w14:paraId="038C29E3" w14:textId="19BB8ECB" w:rsidR="00296BA9" w:rsidRPr="00384792" w:rsidRDefault="00296BA9" w:rsidP="146AC38E">
      <w:pPr>
        <w:pStyle w:val="BodyTextIndent2"/>
        <w:tabs>
          <w:tab w:val="clear" w:pos="709"/>
          <w:tab w:val="clear" w:pos="6120"/>
          <w:tab w:val="clear" w:pos="7380"/>
        </w:tabs>
        <w:ind w:left="0"/>
        <w:rPr>
          <w:rFonts w:cs="Arial"/>
          <w:sz w:val="20"/>
        </w:rPr>
      </w:pPr>
    </w:p>
    <w:p w14:paraId="332FAABA" w14:textId="05331EF3" w:rsidR="00075075" w:rsidRPr="00384792" w:rsidRDefault="00075075" w:rsidP="146AC38E">
      <w:pPr>
        <w:pStyle w:val="BodyTextIndent2"/>
        <w:tabs>
          <w:tab w:val="clear" w:pos="709"/>
          <w:tab w:val="clear" w:pos="6120"/>
          <w:tab w:val="clear" w:pos="7380"/>
        </w:tabs>
        <w:rPr>
          <w:rFonts w:cs="Arial"/>
          <w:sz w:val="20"/>
        </w:rPr>
      </w:pPr>
      <w:r w:rsidRPr="00384792">
        <w:rPr>
          <w:rFonts w:cs="Arial"/>
          <w:sz w:val="20"/>
        </w:rPr>
        <w:t xml:space="preserve">The Treasury Policy Statement requires that the </w:t>
      </w:r>
      <w:r w:rsidR="003F3B03" w:rsidRPr="00384792">
        <w:rPr>
          <w:rFonts w:cs="Arial"/>
          <w:sz w:val="20"/>
        </w:rPr>
        <w:t xml:space="preserve">Pension Sub-committee of the </w:t>
      </w:r>
      <w:r w:rsidRPr="00384792">
        <w:rPr>
          <w:rFonts w:cs="Arial"/>
          <w:sz w:val="20"/>
        </w:rPr>
        <w:t xml:space="preserve">Policy and Resources Committee </w:t>
      </w:r>
      <w:r w:rsidR="0411298E" w:rsidRPr="00384792">
        <w:rPr>
          <w:rFonts w:cs="Arial"/>
          <w:sz w:val="20"/>
        </w:rPr>
        <w:t>receive</w:t>
      </w:r>
      <w:r w:rsidRPr="00384792">
        <w:rPr>
          <w:rFonts w:cs="Arial"/>
          <w:sz w:val="20"/>
        </w:rPr>
        <w:t xml:space="preserve"> and consider the Treasury Management </w:t>
      </w:r>
      <w:r w:rsidR="00942DD1" w:rsidRPr="00384792">
        <w:rPr>
          <w:rFonts w:cs="Arial"/>
          <w:sz w:val="20"/>
        </w:rPr>
        <w:t>s</w:t>
      </w:r>
      <w:r w:rsidRPr="00384792">
        <w:rPr>
          <w:rFonts w:cs="Arial"/>
          <w:sz w:val="20"/>
        </w:rPr>
        <w:t>trategy in advance of each new financial year and subsequently an annual monitoring report on the activities in that year.</w:t>
      </w:r>
    </w:p>
    <w:p w14:paraId="46B5836D" w14:textId="77777777" w:rsidR="00075075" w:rsidRPr="00384792" w:rsidRDefault="00075075" w:rsidP="00D5455C">
      <w:pPr>
        <w:pStyle w:val="BodyTextIndent2"/>
        <w:tabs>
          <w:tab w:val="clear" w:pos="709"/>
          <w:tab w:val="clear" w:pos="6120"/>
          <w:tab w:val="clear" w:pos="7380"/>
        </w:tabs>
        <w:ind w:hanging="720"/>
        <w:rPr>
          <w:rFonts w:cs="Arial"/>
          <w:sz w:val="20"/>
        </w:rPr>
      </w:pPr>
    </w:p>
    <w:p w14:paraId="3C7FCEFB" w14:textId="4B869E1D" w:rsidR="00075075" w:rsidRPr="00384792" w:rsidRDefault="00075075" w:rsidP="146AC38E">
      <w:pPr>
        <w:pStyle w:val="BodyTextIndent2"/>
        <w:tabs>
          <w:tab w:val="clear" w:pos="709"/>
          <w:tab w:val="clear" w:pos="6120"/>
          <w:tab w:val="clear" w:pos="7380"/>
        </w:tabs>
        <w:rPr>
          <w:rFonts w:cs="Arial"/>
          <w:sz w:val="20"/>
        </w:rPr>
      </w:pPr>
      <w:r w:rsidRPr="00384792">
        <w:rPr>
          <w:rFonts w:cs="Arial"/>
          <w:sz w:val="20"/>
        </w:rPr>
        <w:t>This monitoring report covers the Treasury Management activ</w:t>
      </w:r>
      <w:r w:rsidR="009C5515" w:rsidRPr="00384792">
        <w:rPr>
          <w:rFonts w:cs="Arial"/>
          <w:sz w:val="20"/>
        </w:rPr>
        <w:t xml:space="preserve">ity over the financial year </w:t>
      </w:r>
      <w:r w:rsidR="00492FC8" w:rsidRPr="00384792">
        <w:rPr>
          <w:rFonts w:cs="Arial"/>
          <w:sz w:val="20"/>
        </w:rPr>
        <w:t>20</w:t>
      </w:r>
      <w:r w:rsidR="003F25DF" w:rsidRPr="00384792">
        <w:rPr>
          <w:rFonts w:cs="Arial"/>
          <w:sz w:val="20"/>
        </w:rPr>
        <w:t>2</w:t>
      </w:r>
      <w:r w:rsidR="00AE02C3" w:rsidRPr="00384792">
        <w:rPr>
          <w:rFonts w:cs="Arial"/>
          <w:sz w:val="20"/>
        </w:rPr>
        <w:t>4</w:t>
      </w:r>
      <w:r w:rsidR="00492FC8" w:rsidRPr="00384792">
        <w:rPr>
          <w:rFonts w:cs="Arial"/>
          <w:sz w:val="20"/>
        </w:rPr>
        <w:t>/20</w:t>
      </w:r>
      <w:r w:rsidR="00520F86" w:rsidRPr="00384792">
        <w:rPr>
          <w:rFonts w:cs="Arial"/>
          <w:sz w:val="20"/>
        </w:rPr>
        <w:t>2</w:t>
      </w:r>
      <w:r w:rsidR="00AE02C3" w:rsidRPr="00384792">
        <w:rPr>
          <w:rFonts w:cs="Arial"/>
          <w:sz w:val="20"/>
        </w:rPr>
        <w:t>5</w:t>
      </w:r>
      <w:r w:rsidRPr="00384792">
        <w:rPr>
          <w:rFonts w:cs="Arial"/>
          <w:sz w:val="20"/>
        </w:rPr>
        <w:t>.</w:t>
      </w:r>
    </w:p>
    <w:p w14:paraId="0E34399F" w14:textId="77777777" w:rsidR="00C656AF" w:rsidRPr="00384792" w:rsidRDefault="00C656AF" w:rsidP="00C656AF">
      <w:pPr>
        <w:rPr>
          <w:rFonts w:cs="Arial"/>
          <w:sz w:val="20"/>
        </w:rPr>
      </w:pPr>
    </w:p>
    <w:p w14:paraId="0493325A" w14:textId="30E96BC6" w:rsidR="00885AED" w:rsidRPr="00384792" w:rsidRDefault="0093108E" w:rsidP="146AC38E">
      <w:pPr>
        <w:pStyle w:val="Heading2"/>
        <w:tabs>
          <w:tab w:val="left" w:pos="720"/>
        </w:tabs>
        <w:rPr>
          <w:rFonts w:cs="Arial"/>
          <w:sz w:val="20"/>
        </w:rPr>
      </w:pPr>
      <w:r w:rsidRPr="00384792">
        <w:rPr>
          <w:rFonts w:cs="Arial"/>
          <w:sz w:val="20"/>
        </w:rPr>
        <w:t>5</w:t>
      </w:r>
      <w:r w:rsidRPr="00384792">
        <w:rPr>
          <w:rFonts w:cs="Arial"/>
          <w:sz w:val="20"/>
        </w:rPr>
        <w:tab/>
      </w:r>
      <w:r w:rsidR="00A21966" w:rsidRPr="00384792">
        <w:rPr>
          <w:rFonts w:cs="Arial"/>
          <w:sz w:val="20"/>
        </w:rPr>
        <w:t>THE TREASURY M</w:t>
      </w:r>
      <w:r w:rsidR="009C5515" w:rsidRPr="00384792">
        <w:rPr>
          <w:rFonts w:cs="Arial"/>
          <w:sz w:val="20"/>
        </w:rPr>
        <w:t xml:space="preserve">ANAGEMENT STRATEGY FOR </w:t>
      </w:r>
      <w:r w:rsidR="00840C1C" w:rsidRPr="00384792">
        <w:rPr>
          <w:rFonts w:cs="Arial"/>
          <w:sz w:val="20"/>
        </w:rPr>
        <w:t>20</w:t>
      </w:r>
      <w:r w:rsidR="003F25DF" w:rsidRPr="00384792">
        <w:rPr>
          <w:rFonts w:cs="Arial"/>
          <w:sz w:val="20"/>
        </w:rPr>
        <w:t>2</w:t>
      </w:r>
      <w:r w:rsidR="00AE02C3" w:rsidRPr="00384792">
        <w:rPr>
          <w:rFonts w:cs="Arial"/>
          <w:sz w:val="20"/>
        </w:rPr>
        <w:t>4</w:t>
      </w:r>
      <w:r w:rsidR="00840C1C" w:rsidRPr="00384792">
        <w:rPr>
          <w:rFonts w:cs="Arial"/>
          <w:sz w:val="20"/>
        </w:rPr>
        <w:t>/20</w:t>
      </w:r>
      <w:r w:rsidR="00520F86" w:rsidRPr="00384792">
        <w:rPr>
          <w:rFonts w:cs="Arial"/>
          <w:sz w:val="20"/>
        </w:rPr>
        <w:t>2</w:t>
      </w:r>
      <w:r w:rsidR="00AE02C3" w:rsidRPr="00384792">
        <w:rPr>
          <w:rFonts w:cs="Arial"/>
          <w:sz w:val="20"/>
        </w:rPr>
        <w:t>5</w:t>
      </w:r>
    </w:p>
    <w:p w14:paraId="1DFF52E8" w14:textId="77777777" w:rsidR="00A21966" w:rsidRPr="00384792" w:rsidRDefault="00A21966" w:rsidP="00D5455C">
      <w:pPr>
        <w:jc w:val="both"/>
        <w:rPr>
          <w:rFonts w:cs="Arial"/>
          <w:sz w:val="20"/>
        </w:rPr>
      </w:pPr>
    </w:p>
    <w:p w14:paraId="671C4833" w14:textId="441A069F" w:rsidR="00AB5018" w:rsidRPr="00384792" w:rsidRDefault="00AB5018" w:rsidP="146AC38E">
      <w:pPr>
        <w:tabs>
          <w:tab w:val="left" w:pos="6120"/>
          <w:tab w:val="left" w:pos="7380"/>
        </w:tabs>
        <w:ind w:left="720"/>
        <w:jc w:val="both"/>
        <w:rPr>
          <w:rFonts w:cs="Arial"/>
          <w:sz w:val="20"/>
        </w:rPr>
      </w:pPr>
      <w:r w:rsidRPr="00384792">
        <w:rPr>
          <w:rFonts w:cs="Arial"/>
          <w:sz w:val="20"/>
        </w:rPr>
        <w:t>The Treasury Management Strategy for 20</w:t>
      </w:r>
      <w:r w:rsidR="003F25DF" w:rsidRPr="00384792">
        <w:rPr>
          <w:rFonts w:cs="Arial"/>
          <w:sz w:val="20"/>
        </w:rPr>
        <w:t>2</w:t>
      </w:r>
      <w:r w:rsidR="005E6D97" w:rsidRPr="00384792">
        <w:rPr>
          <w:rFonts w:cs="Arial"/>
          <w:sz w:val="20"/>
        </w:rPr>
        <w:t>4</w:t>
      </w:r>
      <w:r w:rsidR="003F25DF" w:rsidRPr="00384792">
        <w:rPr>
          <w:rFonts w:cs="Arial"/>
          <w:sz w:val="20"/>
        </w:rPr>
        <w:t>/</w:t>
      </w:r>
      <w:r w:rsidR="00444613" w:rsidRPr="00384792">
        <w:rPr>
          <w:rFonts w:cs="Arial"/>
          <w:sz w:val="20"/>
        </w:rPr>
        <w:t>20</w:t>
      </w:r>
      <w:r w:rsidR="003F25DF" w:rsidRPr="00384792">
        <w:rPr>
          <w:rFonts w:cs="Arial"/>
          <w:sz w:val="20"/>
        </w:rPr>
        <w:t>2</w:t>
      </w:r>
      <w:r w:rsidR="005E6D97" w:rsidRPr="00384792">
        <w:rPr>
          <w:rFonts w:cs="Arial"/>
          <w:sz w:val="20"/>
        </w:rPr>
        <w:t>5</w:t>
      </w:r>
      <w:r w:rsidRPr="00384792">
        <w:rPr>
          <w:rFonts w:cs="Arial"/>
          <w:sz w:val="20"/>
        </w:rPr>
        <w:t xml:space="preserve"> </w:t>
      </w:r>
      <w:r w:rsidR="008E6384" w:rsidRPr="00384792">
        <w:rPr>
          <w:rFonts w:cs="Arial"/>
          <w:sz w:val="20"/>
        </w:rPr>
        <w:t xml:space="preserve">was approved at the meeting on </w:t>
      </w:r>
      <w:r w:rsidR="005E6D97" w:rsidRPr="00384792">
        <w:rPr>
          <w:rFonts w:cs="Arial"/>
          <w:sz w:val="20"/>
        </w:rPr>
        <w:t>18</w:t>
      </w:r>
      <w:r w:rsidR="009F4103" w:rsidRPr="00384792">
        <w:rPr>
          <w:rFonts w:cs="Arial"/>
          <w:sz w:val="20"/>
        </w:rPr>
        <w:t xml:space="preserve"> </w:t>
      </w:r>
      <w:r w:rsidR="00017DD5" w:rsidRPr="00384792">
        <w:rPr>
          <w:rFonts w:cs="Arial"/>
          <w:sz w:val="20"/>
        </w:rPr>
        <w:t>March</w:t>
      </w:r>
      <w:r w:rsidR="008E6384" w:rsidRPr="00384792">
        <w:rPr>
          <w:rFonts w:cs="Arial"/>
          <w:sz w:val="20"/>
        </w:rPr>
        <w:t xml:space="preserve"> 20</w:t>
      </w:r>
      <w:r w:rsidR="003F25DF" w:rsidRPr="00384792">
        <w:rPr>
          <w:rFonts w:cs="Arial"/>
          <w:sz w:val="20"/>
        </w:rPr>
        <w:t>2</w:t>
      </w:r>
      <w:r w:rsidR="005E6D97" w:rsidRPr="00384792">
        <w:rPr>
          <w:rFonts w:cs="Arial"/>
          <w:sz w:val="20"/>
        </w:rPr>
        <w:t>4</w:t>
      </w:r>
      <w:r w:rsidR="008E6384" w:rsidRPr="00384792">
        <w:rPr>
          <w:rFonts w:cs="Arial"/>
          <w:sz w:val="20"/>
        </w:rPr>
        <w:t xml:space="preserve"> of the Pension Sub-committee of the Policy and Resources Committee (Article</w:t>
      </w:r>
      <w:r w:rsidRPr="00384792">
        <w:rPr>
          <w:rFonts w:cs="Arial"/>
          <w:sz w:val="20"/>
        </w:rPr>
        <w:t xml:space="preserve"> </w:t>
      </w:r>
      <w:r w:rsidR="0021133F" w:rsidRPr="00384792">
        <w:rPr>
          <w:rFonts w:cs="Arial"/>
          <w:sz w:val="20"/>
        </w:rPr>
        <w:t>X</w:t>
      </w:r>
      <w:r w:rsidR="00DE4B5F" w:rsidRPr="00384792">
        <w:rPr>
          <w:rFonts w:cs="Arial"/>
          <w:sz w:val="20"/>
        </w:rPr>
        <w:t>I</w:t>
      </w:r>
      <w:r w:rsidRPr="00384792">
        <w:rPr>
          <w:rFonts w:cs="Arial"/>
          <w:sz w:val="20"/>
        </w:rPr>
        <w:t xml:space="preserve"> of the Minute of Meeting of the Pension Sub-Committee of the </w:t>
      </w:r>
      <w:r w:rsidR="005E6D97" w:rsidRPr="00384792">
        <w:rPr>
          <w:rFonts w:cs="Arial"/>
          <w:sz w:val="20"/>
        </w:rPr>
        <w:t>City Governance</w:t>
      </w:r>
      <w:r w:rsidRPr="00384792">
        <w:rPr>
          <w:rFonts w:cs="Arial"/>
          <w:sz w:val="20"/>
        </w:rPr>
        <w:t xml:space="preserve"> Committee of </w:t>
      </w:r>
      <w:r w:rsidR="005E6D97" w:rsidRPr="00384792">
        <w:rPr>
          <w:rFonts w:cs="Arial"/>
          <w:sz w:val="20"/>
        </w:rPr>
        <w:t>18</w:t>
      </w:r>
      <w:r w:rsidR="009F4103" w:rsidRPr="00384792">
        <w:rPr>
          <w:rFonts w:cs="Arial"/>
          <w:sz w:val="20"/>
        </w:rPr>
        <w:t xml:space="preserve"> </w:t>
      </w:r>
      <w:r w:rsidR="00017DD5" w:rsidRPr="00384792">
        <w:rPr>
          <w:rFonts w:cs="Arial"/>
          <w:sz w:val="20"/>
        </w:rPr>
        <w:t>March</w:t>
      </w:r>
      <w:r w:rsidR="00F021FE" w:rsidRPr="00384792">
        <w:rPr>
          <w:rFonts w:cs="Arial"/>
          <w:sz w:val="20"/>
        </w:rPr>
        <w:t xml:space="preserve"> 202</w:t>
      </w:r>
      <w:r w:rsidR="005E6D97" w:rsidRPr="00384792">
        <w:rPr>
          <w:rFonts w:cs="Arial"/>
          <w:sz w:val="20"/>
        </w:rPr>
        <w:t>4</w:t>
      </w:r>
      <w:r w:rsidRPr="00384792">
        <w:rPr>
          <w:rFonts w:cs="Arial"/>
          <w:sz w:val="20"/>
        </w:rPr>
        <w:t xml:space="preserve">, Report No </w:t>
      </w:r>
      <w:r w:rsidR="005E6D97" w:rsidRPr="00384792">
        <w:rPr>
          <w:rFonts w:cs="Arial"/>
          <w:sz w:val="20"/>
        </w:rPr>
        <w:t>78</w:t>
      </w:r>
      <w:r w:rsidR="00DE4B5F" w:rsidRPr="00384792">
        <w:rPr>
          <w:rFonts w:cs="Arial"/>
          <w:sz w:val="20"/>
        </w:rPr>
        <w:t>-20</w:t>
      </w:r>
      <w:r w:rsidR="003F25DF" w:rsidRPr="00384792">
        <w:rPr>
          <w:rFonts w:cs="Arial"/>
          <w:sz w:val="20"/>
        </w:rPr>
        <w:t>2</w:t>
      </w:r>
      <w:r w:rsidR="005E6D97" w:rsidRPr="00384792">
        <w:rPr>
          <w:rFonts w:cs="Arial"/>
          <w:sz w:val="20"/>
        </w:rPr>
        <w:t>4</w:t>
      </w:r>
      <w:r w:rsidRPr="00384792">
        <w:rPr>
          <w:rFonts w:cs="Arial"/>
          <w:sz w:val="20"/>
        </w:rPr>
        <w:t xml:space="preserve"> refers). </w:t>
      </w:r>
    </w:p>
    <w:p w14:paraId="430AB607" w14:textId="77777777" w:rsidR="008E6384" w:rsidRPr="00384792" w:rsidRDefault="008E6384" w:rsidP="00AB5018">
      <w:pPr>
        <w:tabs>
          <w:tab w:val="left" w:pos="6120"/>
          <w:tab w:val="left" w:pos="7380"/>
        </w:tabs>
        <w:ind w:left="720" w:hanging="720"/>
        <w:jc w:val="both"/>
        <w:rPr>
          <w:rFonts w:cs="Arial"/>
          <w:sz w:val="20"/>
        </w:rPr>
      </w:pPr>
    </w:p>
    <w:p w14:paraId="0CF5FACB" w14:textId="4B792628" w:rsidR="00AB5018" w:rsidRPr="00384792" w:rsidRDefault="00AB5018" w:rsidP="146AC38E">
      <w:pPr>
        <w:ind w:left="720"/>
        <w:jc w:val="both"/>
        <w:rPr>
          <w:rFonts w:cs="Arial"/>
          <w:sz w:val="20"/>
        </w:rPr>
      </w:pPr>
      <w:r w:rsidRPr="00384792">
        <w:rPr>
          <w:rFonts w:cs="Arial"/>
          <w:sz w:val="20"/>
        </w:rPr>
        <w:t>As a requirement of legislation</w:t>
      </w:r>
      <w:r w:rsidR="00B245D2" w:rsidRPr="00384792">
        <w:rPr>
          <w:rFonts w:cs="Arial"/>
          <w:sz w:val="20"/>
        </w:rPr>
        <w:t>,</w:t>
      </w:r>
      <w:r w:rsidRPr="00384792">
        <w:rPr>
          <w:rFonts w:cs="Arial"/>
          <w:sz w:val="20"/>
        </w:rPr>
        <w:t xml:space="preserve"> </w:t>
      </w:r>
      <w:r w:rsidR="51CC37E0" w:rsidRPr="00384792">
        <w:rPr>
          <w:rFonts w:cs="Arial"/>
          <w:sz w:val="20"/>
        </w:rPr>
        <w:t>to</w:t>
      </w:r>
      <w:r w:rsidRPr="00384792">
        <w:rPr>
          <w:rFonts w:cs="Arial"/>
          <w:sz w:val="20"/>
        </w:rPr>
        <w:t xml:space="preserve"> ensure greater transparency of Pension Fund monies, Tayside Pension Fund has operated a separate bank account from that of Dundee City Council</w:t>
      </w:r>
      <w:r w:rsidR="00B245D2" w:rsidRPr="00384792">
        <w:rPr>
          <w:rFonts w:cs="Arial"/>
          <w:sz w:val="20"/>
        </w:rPr>
        <w:t>.  Although t</w:t>
      </w:r>
      <w:r w:rsidRPr="00384792">
        <w:rPr>
          <w:rFonts w:cs="Arial"/>
          <w:sz w:val="20"/>
        </w:rPr>
        <w:t>he Pension Fund's investments are all managed externally</w:t>
      </w:r>
      <w:r w:rsidR="00B245D2" w:rsidRPr="00384792">
        <w:rPr>
          <w:rFonts w:cs="Arial"/>
          <w:sz w:val="20"/>
        </w:rPr>
        <w:t>,</w:t>
      </w:r>
      <w:r w:rsidRPr="00384792">
        <w:rPr>
          <w:rFonts w:cs="Arial"/>
          <w:sz w:val="20"/>
        </w:rPr>
        <w:t xml:space="preserve"> there are frictional cash balances which are held internally. These arise from timing differences between receipt of pension contributions and payment of pensions within the month.</w:t>
      </w:r>
    </w:p>
    <w:p w14:paraId="53A305D4" w14:textId="77777777" w:rsidR="00AB5018" w:rsidRPr="00384792" w:rsidRDefault="00BE1B9F" w:rsidP="007F7DC2">
      <w:pPr>
        <w:pStyle w:val="BodyTextIndent"/>
        <w:rPr>
          <w:rFonts w:cs="Arial"/>
          <w:sz w:val="20"/>
        </w:rPr>
      </w:pPr>
      <w:r w:rsidRPr="00384792">
        <w:rPr>
          <w:rFonts w:cs="Arial"/>
          <w:sz w:val="20"/>
        </w:rPr>
        <w:tab/>
      </w:r>
    </w:p>
    <w:p w14:paraId="302365D1" w14:textId="77777777" w:rsidR="00BE1B9F" w:rsidRPr="00384792" w:rsidRDefault="00AB5018" w:rsidP="146AC38E">
      <w:pPr>
        <w:pStyle w:val="BodyTextIndent"/>
        <w:ind w:firstLine="0"/>
        <w:rPr>
          <w:rFonts w:cs="Arial"/>
          <w:sz w:val="20"/>
        </w:rPr>
      </w:pPr>
      <w:r w:rsidRPr="00384792">
        <w:rPr>
          <w:rFonts w:cs="Arial"/>
          <w:sz w:val="20"/>
        </w:rPr>
        <w:t>The Pension Fund's Treasury Management Strategy is therefore based on cash flow management to ensure that sufficient funds are held to make all necessary payments with the primary concern of ensuring security and accessibility of cash to allow the capital to be preserved.</w:t>
      </w:r>
      <w:r w:rsidR="00A21966" w:rsidRPr="00384792">
        <w:rPr>
          <w:rFonts w:cs="Arial"/>
          <w:sz w:val="20"/>
        </w:rPr>
        <w:tab/>
      </w:r>
    </w:p>
    <w:p w14:paraId="5905C78F" w14:textId="77777777" w:rsidR="008E6384" w:rsidRPr="00384792" w:rsidRDefault="008E6384" w:rsidP="007F7DC2">
      <w:pPr>
        <w:pStyle w:val="BodyTextIndent"/>
        <w:rPr>
          <w:rFonts w:cs="Arial"/>
          <w:sz w:val="20"/>
        </w:rPr>
      </w:pPr>
    </w:p>
    <w:p w14:paraId="4DC5A179" w14:textId="420E0641" w:rsidR="00CC3D3B" w:rsidRPr="00384792" w:rsidRDefault="00D536E6" w:rsidP="146AC38E">
      <w:pPr>
        <w:pStyle w:val="BodyTextIndent"/>
        <w:ind w:firstLine="0"/>
        <w:rPr>
          <w:rFonts w:cs="Arial"/>
          <w:sz w:val="20"/>
        </w:rPr>
      </w:pPr>
      <w:r w:rsidRPr="00384792">
        <w:rPr>
          <w:rFonts w:cs="Arial"/>
          <w:sz w:val="20"/>
        </w:rPr>
        <w:t>The expectation for interest rates which are incorporated within the Council’s treasury strategy statement were based upon officers' views along with advice from our treasury advisers supported by a selection of City forecasts.  The view on base rates at time of strategy publication (in March 202</w:t>
      </w:r>
      <w:r w:rsidR="00A12A05" w:rsidRPr="00384792">
        <w:rPr>
          <w:rFonts w:cs="Arial"/>
          <w:sz w:val="20"/>
        </w:rPr>
        <w:t>4</w:t>
      </w:r>
      <w:r w:rsidRPr="00384792">
        <w:rPr>
          <w:rFonts w:cs="Arial"/>
          <w:sz w:val="20"/>
        </w:rPr>
        <w:t xml:space="preserve">) was that rates were forecast to </w:t>
      </w:r>
      <w:r w:rsidR="009B0ABD" w:rsidRPr="00384792">
        <w:rPr>
          <w:rFonts w:cs="Arial"/>
          <w:sz w:val="20"/>
        </w:rPr>
        <w:t>be</w:t>
      </w:r>
      <w:r w:rsidRPr="00384792">
        <w:rPr>
          <w:rFonts w:cs="Arial"/>
          <w:sz w:val="20"/>
        </w:rPr>
        <w:t xml:space="preserve"> </w:t>
      </w:r>
      <w:r w:rsidR="009B0ABD" w:rsidRPr="00384792">
        <w:rPr>
          <w:rFonts w:cs="Arial"/>
          <w:sz w:val="20"/>
        </w:rPr>
        <w:t>3.75</w:t>
      </w:r>
      <w:r w:rsidRPr="00384792">
        <w:rPr>
          <w:rFonts w:cs="Arial"/>
          <w:sz w:val="20"/>
        </w:rPr>
        <w:t xml:space="preserve">% by the end of the financial </w:t>
      </w:r>
      <w:r w:rsidRPr="00384792">
        <w:rPr>
          <w:rFonts w:cs="Arial"/>
          <w:sz w:val="20"/>
        </w:rPr>
        <w:lastRenderedPageBreak/>
        <w:t xml:space="preserve">year. It is important to note that The Bank of England </w:t>
      </w:r>
      <w:r w:rsidR="00D61CD7" w:rsidRPr="00384792">
        <w:rPr>
          <w:rFonts w:cs="Arial"/>
          <w:sz w:val="20"/>
        </w:rPr>
        <w:t>de</w:t>
      </w:r>
      <w:r w:rsidRPr="00384792">
        <w:rPr>
          <w:rFonts w:cs="Arial"/>
          <w:sz w:val="20"/>
        </w:rPr>
        <w:t xml:space="preserve">creased base rate on </w:t>
      </w:r>
      <w:r w:rsidR="003C7636" w:rsidRPr="00384792">
        <w:rPr>
          <w:rFonts w:cs="Arial"/>
          <w:sz w:val="20"/>
        </w:rPr>
        <w:t>three</w:t>
      </w:r>
      <w:r w:rsidRPr="00384792">
        <w:rPr>
          <w:rFonts w:cs="Arial"/>
          <w:sz w:val="20"/>
        </w:rPr>
        <w:t xml:space="preserve"> occasions during 202</w:t>
      </w:r>
      <w:r w:rsidR="00D61CD7" w:rsidRPr="00384792">
        <w:rPr>
          <w:rFonts w:cs="Arial"/>
          <w:sz w:val="20"/>
        </w:rPr>
        <w:t>4</w:t>
      </w:r>
      <w:r w:rsidRPr="00384792">
        <w:rPr>
          <w:rFonts w:cs="Arial"/>
          <w:sz w:val="20"/>
        </w:rPr>
        <w:t>/2</w:t>
      </w:r>
      <w:r w:rsidR="00D61CD7" w:rsidRPr="00384792">
        <w:rPr>
          <w:rFonts w:cs="Arial"/>
          <w:sz w:val="20"/>
        </w:rPr>
        <w:t>5</w:t>
      </w:r>
      <w:r w:rsidRPr="00384792">
        <w:rPr>
          <w:rFonts w:cs="Arial"/>
          <w:sz w:val="20"/>
        </w:rPr>
        <w:t xml:space="preserve"> with rate </w:t>
      </w:r>
      <w:r w:rsidR="00BC7187" w:rsidRPr="00384792">
        <w:rPr>
          <w:rFonts w:cs="Arial"/>
          <w:sz w:val="20"/>
        </w:rPr>
        <w:t>being</w:t>
      </w:r>
      <w:r w:rsidRPr="00384792">
        <w:rPr>
          <w:rFonts w:cs="Arial"/>
          <w:sz w:val="20"/>
        </w:rPr>
        <w:t xml:space="preserve"> </w:t>
      </w:r>
      <w:r w:rsidR="00BC7187" w:rsidRPr="00384792">
        <w:rPr>
          <w:rFonts w:cs="Arial"/>
          <w:sz w:val="20"/>
        </w:rPr>
        <w:t>4.50</w:t>
      </w:r>
      <w:r w:rsidRPr="00384792">
        <w:rPr>
          <w:rFonts w:cs="Arial"/>
          <w:sz w:val="20"/>
        </w:rPr>
        <w:t xml:space="preserve">% on </w:t>
      </w:r>
      <w:r w:rsidR="00041E82" w:rsidRPr="00384792">
        <w:rPr>
          <w:rFonts w:cs="Arial"/>
          <w:sz w:val="20"/>
        </w:rPr>
        <w:t xml:space="preserve">6 February </w:t>
      </w:r>
      <w:r w:rsidRPr="00384792">
        <w:rPr>
          <w:rFonts w:cs="Arial"/>
          <w:sz w:val="20"/>
        </w:rPr>
        <w:t>202</w:t>
      </w:r>
      <w:r w:rsidR="00041E82" w:rsidRPr="00384792">
        <w:rPr>
          <w:rFonts w:cs="Arial"/>
          <w:sz w:val="20"/>
        </w:rPr>
        <w:t>5</w:t>
      </w:r>
      <w:r w:rsidRPr="00384792">
        <w:rPr>
          <w:rFonts w:cs="Arial"/>
          <w:sz w:val="20"/>
        </w:rPr>
        <w:t>.</w:t>
      </w:r>
    </w:p>
    <w:p w14:paraId="31D087B5" w14:textId="77777777" w:rsidR="00BE1B9F" w:rsidRPr="00384792" w:rsidRDefault="008749E4" w:rsidP="007F7DC2">
      <w:pPr>
        <w:pStyle w:val="BodyTextIndent"/>
        <w:rPr>
          <w:rFonts w:cs="Arial"/>
          <w:sz w:val="20"/>
        </w:rPr>
      </w:pPr>
      <w:r w:rsidRPr="00384792">
        <w:rPr>
          <w:rFonts w:cs="Arial"/>
          <w:sz w:val="20"/>
        </w:rPr>
        <w:tab/>
      </w:r>
    </w:p>
    <w:p w14:paraId="27F3020C" w14:textId="7DD2F24D" w:rsidR="00A21966" w:rsidRPr="00384792" w:rsidRDefault="0093108E" w:rsidP="00D5455C">
      <w:pPr>
        <w:ind w:left="720" w:hanging="720"/>
        <w:jc w:val="both"/>
        <w:rPr>
          <w:rFonts w:cs="Arial"/>
          <w:b/>
          <w:sz w:val="20"/>
        </w:rPr>
      </w:pPr>
      <w:r w:rsidRPr="00384792">
        <w:rPr>
          <w:rFonts w:cs="Arial"/>
          <w:b/>
          <w:sz w:val="20"/>
        </w:rPr>
        <w:t>6</w:t>
      </w:r>
      <w:r w:rsidR="00A21966" w:rsidRPr="00384792">
        <w:rPr>
          <w:rFonts w:cs="Arial"/>
          <w:sz w:val="20"/>
        </w:rPr>
        <w:tab/>
      </w:r>
      <w:r w:rsidR="009C5515" w:rsidRPr="00384792">
        <w:rPr>
          <w:rFonts w:cs="Arial"/>
          <w:b/>
          <w:sz w:val="20"/>
        </w:rPr>
        <w:t xml:space="preserve">LENDING FOR </w:t>
      </w:r>
      <w:r w:rsidR="00B21B43" w:rsidRPr="00384792">
        <w:rPr>
          <w:rFonts w:cs="Arial"/>
          <w:b/>
          <w:sz w:val="20"/>
        </w:rPr>
        <w:t>20</w:t>
      </w:r>
      <w:r w:rsidR="003F25DF" w:rsidRPr="00384792">
        <w:rPr>
          <w:rFonts w:cs="Arial"/>
          <w:b/>
          <w:sz w:val="20"/>
        </w:rPr>
        <w:t>2</w:t>
      </w:r>
      <w:r w:rsidR="00805AE3" w:rsidRPr="00384792">
        <w:rPr>
          <w:rFonts w:cs="Arial"/>
          <w:b/>
          <w:sz w:val="20"/>
        </w:rPr>
        <w:t>4</w:t>
      </w:r>
      <w:r w:rsidR="00840C1C" w:rsidRPr="00384792">
        <w:rPr>
          <w:rFonts w:cs="Arial"/>
          <w:b/>
          <w:sz w:val="20"/>
        </w:rPr>
        <w:t>/20</w:t>
      </w:r>
      <w:r w:rsidR="00520F86" w:rsidRPr="00384792">
        <w:rPr>
          <w:rFonts w:cs="Arial"/>
          <w:b/>
          <w:sz w:val="20"/>
        </w:rPr>
        <w:t>2</w:t>
      </w:r>
      <w:r w:rsidR="00805AE3" w:rsidRPr="00384792">
        <w:rPr>
          <w:rFonts w:cs="Arial"/>
          <w:b/>
          <w:sz w:val="20"/>
        </w:rPr>
        <w:t>5</w:t>
      </w:r>
    </w:p>
    <w:p w14:paraId="30A2514A" w14:textId="77777777" w:rsidR="00A21966" w:rsidRPr="00384792" w:rsidRDefault="00A21966" w:rsidP="00D5455C">
      <w:pPr>
        <w:ind w:left="720" w:hanging="720"/>
        <w:jc w:val="both"/>
        <w:rPr>
          <w:rFonts w:cs="Arial"/>
          <w:b/>
          <w:sz w:val="20"/>
        </w:rPr>
      </w:pPr>
    </w:p>
    <w:p w14:paraId="5E154FEF" w14:textId="77777777" w:rsidR="00A21966" w:rsidRPr="00384792" w:rsidRDefault="00A21966" w:rsidP="146AC38E">
      <w:pPr>
        <w:ind w:left="720"/>
        <w:jc w:val="both"/>
        <w:rPr>
          <w:rFonts w:cs="Arial"/>
          <w:b/>
          <w:bCs/>
          <w:sz w:val="20"/>
          <w:u w:val="single"/>
        </w:rPr>
      </w:pPr>
      <w:r w:rsidRPr="00384792">
        <w:rPr>
          <w:rFonts w:cs="Arial"/>
          <w:b/>
          <w:bCs/>
          <w:sz w:val="20"/>
        </w:rPr>
        <w:t>Interest Rates</w:t>
      </w:r>
    </w:p>
    <w:p w14:paraId="72A86BAC" w14:textId="77777777" w:rsidR="00A21966" w:rsidRPr="00384792" w:rsidRDefault="00A21966" w:rsidP="00D5455C">
      <w:pPr>
        <w:ind w:left="720" w:hanging="720"/>
        <w:jc w:val="both"/>
        <w:rPr>
          <w:rFonts w:cs="Arial"/>
          <w:b/>
          <w:sz w:val="20"/>
          <w:u w:val="single"/>
        </w:rPr>
      </w:pPr>
    </w:p>
    <w:p w14:paraId="42379C3F" w14:textId="41CA0AD5" w:rsidR="007F7DC2" w:rsidRPr="00384792" w:rsidRDefault="002E0280" w:rsidP="146AC38E">
      <w:pPr>
        <w:ind w:left="720"/>
        <w:jc w:val="both"/>
        <w:rPr>
          <w:rFonts w:cs="Arial"/>
          <w:sz w:val="20"/>
        </w:rPr>
      </w:pPr>
      <w:r w:rsidRPr="00384792">
        <w:rPr>
          <w:rFonts w:cs="Arial"/>
          <w:sz w:val="20"/>
        </w:rPr>
        <w:t xml:space="preserve">Bank of England base rate started the financial year at </w:t>
      </w:r>
      <w:r w:rsidR="00805AE3" w:rsidRPr="00384792">
        <w:rPr>
          <w:rFonts w:cs="Arial"/>
          <w:sz w:val="20"/>
        </w:rPr>
        <w:t>5</w:t>
      </w:r>
      <w:r w:rsidR="009671B8" w:rsidRPr="00384792">
        <w:rPr>
          <w:rFonts w:cs="Arial"/>
          <w:sz w:val="20"/>
        </w:rPr>
        <w:t>.2</w:t>
      </w:r>
      <w:r w:rsidRPr="00384792">
        <w:rPr>
          <w:rFonts w:cs="Arial"/>
          <w:sz w:val="20"/>
        </w:rPr>
        <w:t xml:space="preserve">5% and </w:t>
      </w:r>
      <w:r w:rsidR="008811BE">
        <w:rPr>
          <w:rFonts w:cs="Arial"/>
          <w:sz w:val="20"/>
        </w:rPr>
        <w:t>de</w:t>
      </w:r>
      <w:r w:rsidRPr="00384792">
        <w:rPr>
          <w:rFonts w:cs="Arial"/>
          <w:sz w:val="20"/>
        </w:rPr>
        <w:t xml:space="preserve">creased to </w:t>
      </w:r>
      <w:r w:rsidR="00805AE3" w:rsidRPr="00384792">
        <w:rPr>
          <w:rFonts w:cs="Arial"/>
          <w:sz w:val="20"/>
        </w:rPr>
        <w:t>4.50</w:t>
      </w:r>
      <w:r w:rsidRPr="00384792">
        <w:rPr>
          <w:rFonts w:cs="Arial"/>
          <w:sz w:val="20"/>
        </w:rPr>
        <w:t>% by the end of the financial year.</w:t>
      </w:r>
    </w:p>
    <w:p w14:paraId="6A71F2FA" w14:textId="77777777" w:rsidR="00A21966" w:rsidRPr="00384792" w:rsidRDefault="00A21966" w:rsidP="00512CC2">
      <w:pPr>
        <w:ind w:left="720" w:hanging="720"/>
        <w:jc w:val="both"/>
        <w:rPr>
          <w:rFonts w:cs="Arial"/>
          <w:sz w:val="20"/>
        </w:rPr>
      </w:pPr>
    </w:p>
    <w:p w14:paraId="308355B6" w14:textId="77777777" w:rsidR="00E25096" w:rsidRPr="00384792" w:rsidRDefault="0093108E" w:rsidP="146AC38E">
      <w:pPr>
        <w:ind w:left="720"/>
        <w:rPr>
          <w:rFonts w:cs="Arial"/>
          <w:b/>
          <w:bCs/>
          <w:sz w:val="20"/>
        </w:rPr>
      </w:pPr>
      <w:r w:rsidRPr="00384792">
        <w:rPr>
          <w:rFonts w:cs="Arial"/>
          <w:b/>
          <w:bCs/>
          <w:sz w:val="20"/>
        </w:rPr>
        <w:t xml:space="preserve">Actual </w:t>
      </w:r>
      <w:r w:rsidR="00E25096" w:rsidRPr="00384792">
        <w:rPr>
          <w:rFonts w:cs="Arial"/>
          <w:b/>
          <w:bCs/>
          <w:sz w:val="20"/>
        </w:rPr>
        <w:t>L</w:t>
      </w:r>
      <w:r w:rsidR="00512CC2" w:rsidRPr="00384792">
        <w:rPr>
          <w:rFonts w:cs="Arial"/>
          <w:b/>
          <w:bCs/>
          <w:sz w:val="20"/>
        </w:rPr>
        <w:t>ending</w:t>
      </w:r>
    </w:p>
    <w:p w14:paraId="397BE861" w14:textId="77777777" w:rsidR="00E25096" w:rsidRPr="00384792" w:rsidRDefault="00E25096" w:rsidP="00A21966">
      <w:pPr>
        <w:ind w:left="720" w:hanging="720"/>
        <w:rPr>
          <w:rFonts w:cs="Arial"/>
          <w:b/>
          <w:sz w:val="20"/>
        </w:rPr>
      </w:pPr>
    </w:p>
    <w:p w14:paraId="618EB318" w14:textId="77777777" w:rsidR="00E25096" w:rsidRPr="00384792" w:rsidRDefault="005C663A" w:rsidP="146AC38E">
      <w:pPr>
        <w:ind w:left="720"/>
        <w:jc w:val="both"/>
        <w:rPr>
          <w:rFonts w:cs="Arial"/>
          <w:sz w:val="20"/>
        </w:rPr>
      </w:pPr>
      <w:r w:rsidRPr="00384792">
        <w:rPr>
          <w:rFonts w:cs="Arial"/>
          <w:sz w:val="20"/>
        </w:rPr>
        <w:t>V</w:t>
      </w:r>
      <w:r w:rsidR="00E25096" w:rsidRPr="00384792">
        <w:rPr>
          <w:rFonts w:cs="Arial"/>
          <w:sz w:val="20"/>
        </w:rPr>
        <w:t>ariations in cash flow requirements mean that there will be surplus funds which will be invested for short periods (maximum of 364 days).</w:t>
      </w:r>
    </w:p>
    <w:p w14:paraId="3A79821A" w14:textId="77777777" w:rsidR="00E25096" w:rsidRPr="00384792" w:rsidRDefault="00E25096" w:rsidP="00572B58">
      <w:pPr>
        <w:ind w:left="720" w:hanging="720"/>
        <w:jc w:val="both"/>
        <w:rPr>
          <w:rFonts w:cs="Arial"/>
          <w:sz w:val="20"/>
        </w:rPr>
      </w:pPr>
    </w:p>
    <w:p w14:paraId="6280E5E0" w14:textId="77777777" w:rsidR="00E25096" w:rsidRPr="00384792" w:rsidRDefault="00E25096" w:rsidP="146AC38E">
      <w:pPr>
        <w:ind w:left="720"/>
        <w:jc w:val="both"/>
        <w:rPr>
          <w:rFonts w:cs="Arial"/>
          <w:sz w:val="20"/>
        </w:rPr>
      </w:pPr>
      <w:r w:rsidRPr="00384792">
        <w:rPr>
          <w:rFonts w:cs="Arial"/>
          <w:sz w:val="20"/>
        </w:rPr>
        <w:t xml:space="preserve">Short term investments will be restricted to only those institutions identified in the </w:t>
      </w:r>
      <w:r w:rsidR="00512CC2" w:rsidRPr="00384792">
        <w:rPr>
          <w:rFonts w:cs="Arial"/>
          <w:sz w:val="20"/>
        </w:rPr>
        <w:t>Fund</w:t>
      </w:r>
      <w:r w:rsidR="00F20504" w:rsidRPr="00384792">
        <w:rPr>
          <w:rFonts w:cs="Arial"/>
          <w:sz w:val="20"/>
        </w:rPr>
        <w:t>'s a</w:t>
      </w:r>
      <w:r w:rsidRPr="00384792">
        <w:rPr>
          <w:rFonts w:cs="Arial"/>
          <w:sz w:val="20"/>
        </w:rPr>
        <w:t xml:space="preserve">pproved </w:t>
      </w:r>
      <w:r w:rsidR="00F20504" w:rsidRPr="00384792">
        <w:rPr>
          <w:rFonts w:cs="Arial"/>
          <w:sz w:val="20"/>
        </w:rPr>
        <w:t>c</w:t>
      </w:r>
      <w:r w:rsidRPr="00384792">
        <w:rPr>
          <w:rFonts w:cs="Arial"/>
          <w:sz w:val="20"/>
        </w:rPr>
        <w:t>ounterpart</w:t>
      </w:r>
      <w:r w:rsidR="00F20504" w:rsidRPr="00384792">
        <w:rPr>
          <w:rFonts w:cs="Arial"/>
          <w:sz w:val="20"/>
        </w:rPr>
        <w:t>y</w:t>
      </w:r>
      <w:r w:rsidRPr="00384792">
        <w:rPr>
          <w:rFonts w:cs="Arial"/>
          <w:sz w:val="20"/>
        </w:rPr>
        <w:t xml:space="preserve"> list provided they have maintained their credit rating.</w:t>
      </w:r>
    </w:p>
    <w:p w14:paraId="05FFB8B1" w14:textId="77777777" w:rsidR="00E25096" w:rsidRPr="00384792" w:rsidRDefault="00E25096" w:rsidP="00572B58">
      <w:pPr>
        <w:ind w:left="720" w:hanging="720"/>
        <w:jc w:val="both"/>
        <w:rPr>
          <w:rFonts w:cs="Arial"/>
          <w:sz w:val="20"/>
        </w:rPr>
      </w:pPr>
    </w:p>
    <w:p w14:paraId="3E5D0A82" w14:textId="2D75EC14" w:rsidR="00E25096" w:rsidRPr="00384792" w:rsidRDefault="00E25096" w:rsidP="00572B58">
      <w:pPr>
        <w:jc w:val="both"/>
        <w:rPr>
          <w:rFonts w:cs="Arial"/>
          <w:sz w:val="20"/>
        </w:rPr>
      </w:pPr>
      <w:r w:rsidRPr="00384792">
        <w:rPr>
          <w:rFonts w:cs="Arial"/>
          <w:sz w:val="20"/>
        </w:rPr>
        <w:tab/>
        <w:t>An a</w:t>
      </w:r>
      <w:r w:rsidR="00B56255" w:rsidRPr="00384792">
        <w:rPr>
          <w:rFonts w:cs="Arial"/>
          <w:sz w:val="20"/>
        </w:rPr>
        <w:t>na</w:t>
      </w:r>
      <w:r w:rsidRPr="00384792">
        <w:rPr>
          <w:rFonts w:cs="Arial"/>
          <w:sz w:val="20"/>
        </w:rPr>
        <w:t>lysis of the l</w:t>
      </w:r>
      <w:r w:rsidR="009C5515" w:rsidRPr="00384792">
        <w:rPr>
          <w:rFonts w:cs="Arial"/>
          <w:sz w:val="20"/>
        </w:rPr>
        <w:t>ending position to 31 March 20</w:t>
      </w:r>
      <w:r w:rsidR="005C4532" w:rsidRPr="00384792">
        <w:rPr>
          <w:rFonts w:cs="Arial"/>
          <w:sz w:val="20"/>
        </w:rPr>
        <w:t>2</w:t>
      </w:r>
      <w:r w:rsidR="00805AE3" w:rsidRPr="00384792">
        <w:rPr>
          <w:rFonts w:cs="Arial"/>
          <w:sz w:val="20"/>
        </w:rPr>
        <w:t>5</w:t>
      </w:r>
      <w:r w:rsidRPr="00384792">
        <w:rPr>
          <w:rFonts w:cs="Arial"/>
          <w:sz w:val="20"/>
        </w:rPr>
        <w:t xml:space="preserve"> shows:</w:t>
      </w:r>
    </w:p>
    <w:p w14:paraId="1268FD83" w14:textId="77777777" w:rsidR="00E25096" w:rsidRPr="00384792" w:rsidRDefault="00E25096" w:rsidP="00E25096">
      <w:pPr>
        <w:rPr>
          <w:rFonts w:cs="Arial"/>
          <w:sz w:val="20"/>
        </w:rPr>
      </w:pPr>
    </w:p>
    <w:tbl>
      <w:tblPr>
        <w:tblW w:w="846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351"/>
        <w:gridCol w:w="1460"/>
        <w:gridCol w:w="1461"/>
        <w:gridCol w:w="1358"/>
        <w:gridCol w:w="1288"/>
      </w:tblGrid>
      <w:tr w:rsidR="00FB614C" w:rsidRPr="00384792" w14:paraId="1C471E35" w14:textId="77777777" w:rsidTr="146AC38E">
        <w:trPr>
          <w:trHeight w:val="871"/>
        </w:trPr>
        <w:tc>
          <w:tcPr>
            <w:tcW w:w="1545" w:type="dxa"/>
          </w:tcPr>
          <w:p w14:paraId="60D24DB9" w14:textId="77777777" w:rsidR="00FB614C" w:rsidRPr="00384792" w:rsidRDefault="00E25096" w:rsidP="00742E1E">
            <w:pPr>
              <w:jc w:val="both"/>
              <w:rPr>
                <w:rFonts w:cs="Arial"/>
                <w:sz w:val="20"/>
              </w:rPr>
            </w:pPr>
            <w:bookmarkStart w:id="0" w:name="_Hlk112337744"/>
            <w:r w:rsidRPr="00384792">
              <w:rPr>
                <w:rFonts w:cs="Arial"/>
                <w:sz w:val="20"/>
              </w:rPr>
              <w:tab/>
            </w:r>
          </w:p>
          <w:p w14:paraId="7EFCA8D1" w14:textId="77777777" w:rsidR="00FB614C" w:rsidRPr="00384792" w:rsidRDefault="00FB614C" w:rsidP="00742E1E">
            <w:pPr>
              <w:jc w:val="both"/>
              <w:rPr>
                <w:rFonts w:cs="Arial"/>
                <w:sz w:val="20"/>
              </w:rPr>
            </w:pPr>
          </w:p>
          <w:p w14:paraId="20163476" w14:textId="77777777" w:rsidR="00FB614C" w:rsidRPr="00384792" w:rsidRDefault="00FB614C" w:rsidP="00742E1E">
            <w:pPr>
              <w:jc w:val="both"/>
              <w:rPr>
                <w:rFonts w:cs="Arial"/>
                <w:sz w:val="20"/>
              </w:rPr>
            </w:pPr>
            <w:r w:rsidRPr="00384792">
              <w:rPr>
                <w:rFonts w:cs="Arial"/>
                <w:sz w:val="20"/>
              </w:rPr>
              <w:t>Month</w:t>
            </w:r>
          </w:p>
        </w:tc>
        <w:tc>
          <w:tcPr>
            <w:tcW w:w="1351" w:type="dxa"/>
          </w:tcPr>
          <w:p w14:paraId="0EE76571" w14:textId="77777777" w:rsidR="00DC58ED" w:rsidRPr="00384792" w:rsidRDefault="409BD46E" w:rsidP="146AC38E">
            <w:pPr>
              <w:jc w:val="center"/>
              <w:rPr>
                <w:rFonts w:cs="Arial"/>
                <w:sz w:val="20"/>
              </w:rPr>
            </w:pPr>
            <w:r w:rsidRPr="00384792">
              <w:rPr>
                <w:rFonts w:cs="Arial"/>
                <w:sz w:val="20"/>
              </w:rPr>
              <w:t>Lowest</w:t>
            </w:r>
            <w:r w:rsidR="1912F8D9" w:rsidRPr="00384792">
              <w:rPr>
                <w:rFonts w:cs="Arial"/>
                <w:sz w:val="20"/>
              </w:rPr>
              <w:t xml:space="preserve"> Lending</w:t>
            </w:r>
            <w:r w:rsidRPr="00384792">
              <w:rPr>
                <w:rFonts w:cs="Arial"/>
                <w:sz w:val="20"/>
              </w:rPr>
              <w:t xml:space="preserve"> </w:t>
            </w:r>
          </w:p>
          <w:p w14:paraId="5E2B59F8" w14:textId="77777777" w:rsidR="00FB614C" w:rsidRPr="00384792" w:rsidRDefault="409BD46E" w:rsidP="146AC38E">
            <w:pPr>
              <w:jc w:val="center"/>
              <w:rPr>
                <w:rFonts w:cs="Arial"/>
                <w:sz w:val="20"/>
              </w:rPr>
            </w:pPr>
            <w:r w:rsidRPr="00384792">
              <w:rPr>
                <w:rFonts w:cs="Arial"/>
                <w:sz w:val="20"/>
              </w:rPr>
              <w:t>Amount</w:t>
            </w:r>
          </w:p>
          <w:p w14:paraId="40276898" w14:textId="77777777" w:rsidR="00FB614C" w:rsidRPr="00384792" w:rsidRDefault="409BD46E" w:rsidP="146AC38E">
            <w:pPr>
              <w:jc w:val="center"/>
              <w:rPr>
                <w:rFonts w:cs="Arial"/>
                <w:sz w:val="20"/>
              </w:rPr>
            </w:pPr>
            <w:r w:rsidRPr="00384792">
              <w:rPr>
                <w:rFonts w:cs="Arial"/>
                <w:sz w:val="20"/>
              </w:rPr>
              <w:t>£m</w:t>
            </w:r>
          </w:p>
        </w:tc>
        <w:tc>
          <w:tcPr>
            <w:tcW w:w="1460" w:type="dxa"/>
          </w:tcPr>
          <w:p w14:paraId="42E45F78" w14:textId="77777777" w:rsidR="00A2422F" w:rsidRPr="00384792" w:rsidRDefault="409BD46E" w:rsidP="146AC38E">
            <w:pPr>
              <w:spacing w:line="259" w:lineRule="auto"/>
              <w:jc w:val="center"/>
              <w:rPr>
                <w:rFonts w:cs="Arial"/>
                <w:sz w:val="20"/>
              </w:rPr>
            </w:pPr>
            <w:r w:rsidRPr="00384792">
              <w:rPr>
                <w:rFonts w:cs="Arial"/>
                <w:sz w:val="20"/>
              </w:rPr>
              <w:t xml:space="preserve">Highest </w:t>
            </w:r>
            <w:r w:rsidR="1912F8D9" w:rsidRPr="00384792">
              <w:rPr>
                <w:rFonts w:cs="Arial"/>
                <w:sz w:val="20"/>
              </w:rPr>
              <w:t>Lending</w:t>
            </w:r>
          </w:p>
          <w:p w14:paraId="4E2F46AD" w14:textId="77777777" w:rsidR="00FB614C" w:rsidRPr="00384792" w:rsidRDefault="409BD46E" w:rsidP="146AC38E">
            <w:pPr>
              <w:spacing w:line="259" w:lineRule="auto"/>
              <w:jc w:val="center"/>
              <w:rPr>
                <w:rFonts w:cs="Arial"/>
                <w:sz w:val="20"/>
              </w:rPr>
            </w:pPr>
            <w:r w:rsidRPr="00384792">
              <w:rPr>
                <w:rFonts w:cs="Arial"/>
                <w:sz w:val="20"/>
              </w:rPr>
              <w:t>Amount</w:t>
            </w:r>
          </w:p>
          <w:p w14:paraId="06B72AA6" w14:textId="77777777" w:rsidR="00FB614C" w:rsidRPr="00384792" w:rsidRDefault="409BD46E" w:rsidP="146AC38E">
            <w:pPr>
              <w:spacing w:line="259" w:lineRule="auto"/>
              <w:jc w:val="center"/>
              <w:rPr>
                <w:rFonts w:cs="Arial"/>
                <w:sz w:val="20"/>
              </w:rPr>
            </w:pPr>
            <w:r w:rsidRPr="00384792">
              <w:rPr>
                <w:rFonts w:cs="Arial"/>
                <w:sz w:val="20"/>
              </w:rPr>
              <w:t>£m</w:t>
            </w:r>
          </w:p>
        </w:tc>
        <w:tc>
          <w:tcPr>
            <w:tcW w:w="1461" w:type="dxa"/>
          </w:tcPr>
          <w:p w14:paraId="3BEBE6F1" w14:textId="77777777" w:rsidR="00A2422F" w:rsidRPr="00384792" w:rsidRDefault="409BD46E" w:rsidP="146AC38E">
            <w:pPr>
              <w:spacing w:line="259" w:lineRule="auto"/>
              <w:jc w:val="center"/>
              <w:rPr>
                <w:rFonts w:cs="Arial"/>
                <w:sz w:val="20"/>
              </w:rPr>
            </w:pPr>
            <w:r w:rsidRPr="00384792">
              <w:rPr>
                <w:rFonts w:cs="Arial"/>
                <w:sz w:val="20"/>
              </w:rPr>
              <w:t>End of month</w:t>
            </w:r>
          </w:p>
          <w:p w14:paraId="64076DB6" w14:textId="77777777" w:rsidR="00FB614C" w:rsidRPr="00384792" w:rsidRDefault="1912F8D9" w:rsidP="146AC38E">
            <w:pPr>
              <w:spacing w:line="259" w:lineRule="auto"/>
              <w:jc w:val="center"/>
              <w:rPr>
                <w:rFonts w:cs="Arial"/>
                <w:sz w:val="20"/>
              </w:rPr>
            </w:pPr>
            <w:r w:rsidRPr="00384792">
              <w:rPr>
                <w:rFonts w:cs="Arial"/>
                <w:sz w:val="20"/>
              </w:rPr>
              <w:t>Lending</w:t>
            </w:r>
            <w:r w:rsidR="409BD46E" w:rsidRPr="00384792">
              <w:rPr>
                <w:rFonts w:cs="Arial"/>
                <w:sz w:val="20"/>
              </w:rPr>
              <w:t xml:space="preserve"> Amount</w:t>
            </w:r>
          </w:p>
          <w:p w14:paraId="0C08C7DF" w14:textId="77777777" w:rsidR="00FB614C" w:rsidRPr="00384792" w:rsidRDefault="409BD46E" w:rsidP="146AC38E">
            <w:pPr>
              <w:spacing w:line="259" w:lineRule="auto"/>
              <w:jc w:val="center"/>
              <w:rPr>
                <w:rFonts w:cs="Arial"/>
                <w:sz w:val="20"/>
              </w:rPr>
            </w:pPr>
            <w:r w:rsidRPr="00384792">
              <w:rPr>
                <w:rFonts w:cs="Arial"/>
                <w:sz w:val="20"/>
              </w:rPr>
              <w:t>£m</w:t>
            </w:r>
          </w:p>
        </w:tc>
        <w:tc>
          <w:tcPr>
            <w:tcW w:w="2646" w:type="dxa"/>
            <w:gridSpan w:val="2"/>
          </w:tcPr>
          <w:p w14:paraId="47E866F1" w14:textId="77777777" w:rsidR="00FB614C" w:rsidRPr="00384792" w:rsidRDefault="00FB614C" w:rsidP="00742E1E">
            <w:pPr>
              <w:jc w:val="center"/>
              <w:rPr>
                <w:rFonts w:cs="Arial"/>
                <w:sz w:val="20"/>
              </w:rPr>
            </w:pPr>
          </w:p>
          <w:p w14:paraId="39C1F67B" w14:textId="77777777" w:rsidR="00FB614C" w:rsidRPr="00384792" w:rsidRDefault="00FB614C" w:rsidP="00742E1E">
            <w:pPr>
              <w:jc w:val="center"/>
              <w:rPr>
                <w:rFonts w:cs="Arial"/>
                <w:sz w:val="20"/>
              </w:rPr>
            </w:pPr>
          </w:p>
          <w:p w14:paraId="611998BC" w14:textId="77777777" w:rsidR="00FB614C" w:rsidRPr="00384792" w:rsidRDefault="00FB614C" w:rsidP="00742E1E">
            <w:pPr>
              <w:jc w:val="center"/>
              <w:rPr>
                <w:rFonts w:cs="Arial"/>
                <w:sz w:val="20"/>
              </w:rPr>
            </w:pPr>
            <w:r w:rsidRPr="00384792">
              <w:rPr>
                <w:rFonts w:cs="Arial"/>
                <w:sz w:val="20"/>
              </w:rPr>
              <w:t>Interest Rate Range</w:t>
            </w:r>
          </w:p>
          <w:p w14:paraId="2E054C26" w14:textId="77777777" w:rsidR="00FB614C" w:rsidRPr="00384792" w:rsidRDefault="00FB614C" w:rsidP="00742E1E">
            <w:pPr>
              <w:jc w:val="center"/>
              <w:rPr>
                <w:rFonts w:cs="Arial"/>
                <w:sz w:val="20"/>
              </w:rPr>
            </w:pPr>
            <w:r w:rsidRPr="00384792">
              <w:rPr>
                <w:rFonts w:cs="Arial"/>
                <w:sz w:val="20"/>
              </w:rPr>
              <w:t>%</w:t>
            </w:r>
          </w:p>
        </w:tc>
      </w:tr>
      <w:tr w:rsidR="00FB614C" w:rsidRPr="00384792" w14:paraId="756C13FF" w14:textId="77777777" w:rsidTr="146AC38E">
        <w:trPr>
          <w:trHeight w:val="206"/>
        </w:trPr>
        <w:tc>
          <w:tcPr>
            <w:tcW w:w="1545" w:type="dxa"/>
          </w:tcPr>
          <w:p w14:paraId="6F5E86E8" w14:textId="77777777" w:rsidR="00FB614C" w:rsidRPr="00384792" w:rsidRDefault="00FB614C" w:rsidP="00742E1E">
            <w:pPr>
              <w:jc w:val="both"/>
              <w:rPr>
                <w:rFonts w:cs="Arial"/>
                <w:sz w:val="20"/>
                <w:highlight w:val="cyan"/>
              </w:rPr>
            </w:pPr>
          </w:p>
        </w:tc>
        <w:tc>
          <w:tcPr>
            <w:tcW w:w="1351" w:type="dxa"/>
          </w:tcPr>
          <w:p w14:paraId="186A6034" w14:textId="77777777" w:rsidR="00FB614C" w:rsidRPr="00384792" w:rsidRDefault="00FB614C" w:rsidP="00742E1E">
            <w:pPr>
              <w:jc w:val="center"/>
              <w:rPr>
                <w:rFonts w:cs="Arial"/>
                <w:sz w:val="20"/>
                <w:highlight w:val="cyan"/>
              </w:rPr>
            </w:pPr>
          </w:p>
        </w:tc>
        <w:tc>
          <w:tcPr>
            <w:tcW w:w="1460" w:type="dxa"/>
          </w:tcPr>
          <w:p w14:paraId="43F97059" w14:textId="77777777" w:rsidR="00FB614C" w:rsidRPr="00384792" w:rsidRDefault="00FB614C" w:rsidP="00742E1E">
            <w:pPr>
              <w:jc w:val="center"/>
              <w:rPr>
                <w:rFonts w:cs="Arial"/>
                <w:sz w:val="20"/>
                <w:highlight w:val="cyan"/>
              </w:rPr>
            </w:pPr>
          </w:p>
        </w:tc>
        <w:tc>
          <w:tcPr>
            <w:tcW w:w="1461" w:type="dxa"/>
          </w:tcPr>
          <w:p w14:paraId="5357EEC8" w14:textId="77777777" w:rsidR="00FB614C" w:rsidRPr="00384792" w:rsidRDefault="00FB614C" w:rsidP="00742E1E">
            <w:pPr>
              <w:jc w:val="center"/>
              <w:rPr>
                <w:rFonts w:cs="Arial"/>
                <w:sz w:val="20"/>
                <w:highlight w:val="cyan"/>
              </w:rPr>
            </w:pPr>
          </w:p>
        </w:tc>
        <w:tc>
          <w:tcPr>
            <w:tcW w:w="1358" w:type="dxa"/>
          </w:tcPr>
          <w:p w14:paraId="6F70506F" w14:textId="77777777" w:rsidR="00FB614C" w:rsidRPr="00384792" w:rsidRDefault="00FB614C" w:rsidP="00742E1E">
            <w:pPr>
              <w:jc w:val="center"/>
              <w:rPr>
                <w:rFonts w:cs="Arial"/>
                <w:sz w:val="20"/>
              </w:rPr>
            </w:pPr>
            <w:r w:rsidRPr="00384792">
              <w:rPr>
                <w:rFonts w:cs="Arial"/>
                <w:sz w:val="20"/>
              </w:rPr>
              <w:t>Min</w:t>
            </w:r>
          </w:p>
        </w:tc>
        <w:tc>
          <w:tcPr>
            <w:tcW w:w="1288" w:type="dxa"/>
          </w:tcPr>
          <w:p w14:paraId="42CAB41A" w14:textId="77777777" w:rsidR="00FB614C" w:rsidRPr="00384792" w:rsidRDefault="00FB614C" w:rsidP="00742E1E">
            <w:pPr>
              <w:jc w:val="center"/>
              <w:rPr>
                <w:rFonts w:cs="Arial"/>
                <w:sz w:val="20"/>
              </w:rPr>
            </w:pPr>
            <w:r w:rsidRPr="00384792">
              <w:rPr>
                <w:rFonts w:cs="Arial"/>
                <w:sz w:val="20"/>
              </w:rPr>
              <w:t>Max</w:t>
            </w:r>
          </w:p>
        </w:tc>
      </w:tr>
      <w:tr w:rsidR="00B27115" w:rsidRPr="00384792" w14:paraId="5ECA9CA7" w14:textId="77777777" w:rsidTr="146AC38E">
        <w:trPr>
          <w:trHeight w:val="206"/>
        </w:trPr>
        <w:tc>
          <w:tcPr>
            <w:tcW w:w="1545" w:type="dxa"/>
          </w:tcPr>
          <w:p w14:paraId="4E481393" w14:textId="1C097EF2" w:rsidR="00B27115" w:rsidRPr="00384792" w:rsidRDefault="15F8D81D" w:rsidP="146AC38E">
            <w:pPr>
              <w:jc w:val="both"/>
              <w:rPr>
                <w:rFonts w:eastAsia="Arial" w:cs="Arial"/>
                <w:sz w:val="20"/>
              </w:rPr>
            </w:pPr>
            <w:r w:rsidRPr="00384792">
              <w:rPr>
                <w:rFonts w:eastAsia="Arial" w:cs="Arial"/>
                <w:sz w:val="20"/>
              </w:rPr>
              <w:t>April 2024</w:t>
            </w:r>
          </w:p>
        </w:tc>
        <w:tc>
          <w:tcPr>
            <w:tcW w:w="1351" w:type="dxa"/>
          </w:tcPr>
          <w:p w14:paraId="3E23C4A5" w14:textId="673DD6D7" w:rsidR="00B27115" w:rsidRPr="00384792" w:rsidRDefault="15F8D81D" w:rsidP="146AC38E">
            <w:pPr>
              <w:jc w:val="right"/>
              <w:rPr>
                <w:rFonts w:eastAsia="Arial" w:cs="Arial"/>
                <w:sz w:val="20"/>
                <w:highlight w:val="yellow"/>
              </w:rPr>
            </w:pPr>
            <w:r w:rsidRPr="00384792">
              <w:rPr>
                <w:rFonts w:eastAsia="Arial" w:cs="Arial"/>
                <w:sz w:val="20"/>
              </w:rPr>
              <w:t>13.185</w:t>
            </w:r>
          </w:p>
        </w:tc>
        <w:tc>
          <w:tcPr>
            <w:tcW w:w="1460" w:type="dxa"/>
          </w:tcPr>
          <w:p w14:paraId="7D3BCA66" w14:textId="10BA4DE0" w:rsidR="00B27115" w:rsidRPr="00384792" w:rsidRDefault="15F8D81D" w:rsidP="146AC38E">
            <w:pPr>
              <w:jc w:val="right"/>
              <w:rPr>
                <w:rFonts w:eastAsia="Arial" w:cs="Arial"/>
                <w:sz w:val="20"/>
                <w:highlight w:val="yellow"/>
              </w:rPr>
            </w:pPr>
            <w:r w:rsidRPr="00384792">
              <w:rPr>
                <w:rFonts w:eastAsia="Arial" w:cs="Arial"/>
                <w:sz w:val="20"/>
              </w:rPr>
              <w:t>40.000</w:t>
            </w:r>
          </w:p>
        </w:tc>
        <w:tc>
          <w:tcPr>
            <w:tcW w:w="1461" w:type="dxa"/>
          </w:tcPr>
          <w:p w14:paraId="79D0B0CC" w14:textId="7A759761" w:rsidR="00B27115" w:rsidRPr="00384792" w:rsidRDefault="15F8D81D" w:rsidP="146AC38E">
            <w:pPr>
              <w:jc w:val="right"/>
              <w:rPr>
                <w:rFonts w:eastAsia="Arial" w:cs="Arial"/>
                <w:sz w:val="20"/>
                <w:highlight w:val="yellow"/>
              </w:rPr>
            </w:pPr>
            <w:r w:rsidRPr="00384792">
              <w:rPr>
                <w:rFonts w:eastAsia="Arial" w:cs="Arial"/>
                <w:sz w:val="20"/>
              </w:rPr>
              <w:t>38.150</w:t>
            </w:r>
          </w:p>
        </w:tc>
        <w:tc>
          <w:tcPr>
            <w:tcW w:w="1358" w:type="dxa"/>
          </w:tcPr>
          <w:p w14:paraId="561B8B27" w14:textId="2A03D7A5" w:rsidR="00B27115" w:rsidRPr="00384792" w:rsidRDefault="15F8D81D" w:rsidP="146AC38E">
            <w:pPr>
              <w:jc w:val="right"/>
              <w:rPr>
                <w:rFonts w:eastAsia="Arial" w:cs="Arial"/>
                <w:sz w:val="20"/>
                <w:highlight w:val="yellow"/>
              </w:rPr>
            </w:pPr>
            <w:r w:rsidRPr="00384792">
              <w:rPr>
                <w:rFonts w:eastAsia="Arial" w:cs="Arial"/>
                <w:sz w:val="20"/>
              </w:rPr>
              <w:t>5.22</w:t>
            </w:r>
          </w:p>
        </w:tc>
        <w:tc>
          <w:tcPr>
            <w:tcW w:w="1288" w:type="dxa"/>
          </w:tcPr>
          <w:p w14:paraId="79B6398C" w14:textId="44B2FF3D" w:rsidR="00B27115" w:rsidRPr="00384792" w:rsidRDefault="15F8D81D" w:rsidP="146AC38E">
            <w:pPr>
              <w:jc w:val="right"/>
              <w:rPr>
                <w:rFonts w:eastAsia="Arial" w:cs="Arial"/>
                <w:sz w:val="20"/>
                <w:highlight w:val="yellow"/>
              </w:rPr>
            </w:pPr>
            <w:r w:rsidRPr="00384792">
              <w:rPr>
                <w:rFonts w:eastAsia="Arial" w:cs="Arial"/>
                <w:sz w:val="20"/>
              </w:rPr>
              <w:t>5.29</w:t>
            </w:r>
          </w:p>
        </w:tc>
      </w:tr>
      <w:tr w:rsidR="00B27115" w:rsidRPr="00384792" w14:paraId="734389EF" w14:textId="77777777" w:rsidTr="146AC38E">
        <w:trPr>
          <w:trHeight w:val="221"/>
        </w:trPr>
        <w:tc>
          <w:tcPr>
            <w:tcW w:w="1545" w:type="dxa"/>
          </w:tcPr>
          <w:p w14:paraId="1DE8A8FB" w14:textId="77777777" w:rsidR="00B27115" w:rsidRPr="00384792" w:rsidRDefault="15F8D81D" w:rsidP="146AC38E">
            <w:pPr>
              <w:jc w:val="both"/>
              <w:rPr>
                <w:rFonts w:eastAsia="Arial" w:cs="Arial"/>
                <w:sz w:val="20"/>
              </w:rPr>
            </w:pPr>
            <w:r w:rsidRPr="00384792">
              <w:rPr>
                <w:rFonts w:eastAsia="Arial" w:cs="Arial"/>
                <w:sz w:val="20"/>
              </w:rPr>
              <w:t>May</w:t>
            </w:r>
          </w:p>
        </w:tc>
        <w:tc>
          <w:tcPr>
            <w:tcW w:w="1351" w:type="dxa"/>
          </w:tcPr>
          <w:p w14:paraId="01A777C2" w14:textId="0B9CE4EB" w:rsidR="00B27115" w:rsidRPr="00384792" w:rsidRDefault="15F8D81D" w:rsidP="146AC38E">
            <w:pPr>
              <w:jc w:val="right"/>
              <w:rPr>
                <w:rFonts w:eastAsia="Arial" w:cs="Arial"/>
                <w:sz w:val="20"/>
                <w:highlight w:val="yellow"/>
              </w:rPr>
            </w:pPr>
            <w:r w:rsidRPr="00384792">
              <w:rPr>
                <w:rFonts w:eastAsia="Arial" w:cs="Arial"/>
                <w:sz w:val="20"/>
              </w:rPr>
              <w:t>29.905</w:t>
            </w:r>
          </w:p>
        </w:tc>
        <w:tc>
          <w:tcPr>
            <w:tcW w:w="1460" w:type="dxa"/>
          </w:tcPr>
          <w:p w14:paraId="10AA0766" w14:textId="29807DBA" w:rsidR="00B27115" w:rsidRPr="00384792" w:rsidRDefault="15F8D81D" w:rsidP="146AC38E">
            <w:pPr>
              <w:jc w:val="right"/>
              <w:rPr>
                <w:rFonts w:eastAsia="Arial" w:cs="Arial"/>
                <w:sz w:val="20"/>
                <w:highlight w:val="yellow"/>
              </w:rPr>
            </w:pPr>
            <w:r w:rsidRPr="00384792">
              <w:rPr>
                <w:rFonts w:eastAsia="Arial" w:cs="Arial"/>
                <w:sz w:val="20"/>
              </w:rPr>
              <w:t>39.150</w:t>
            </w:r>
          </w:p>
        </w:tc>
        <w:tc>
          <w:tcPr>
            <w:tcW w:w="1461" w:type="dxa"/>
          </w:tcPr>
          <w:p w14:paraId="65EA9731" w14:textId="36360E19" w:rsidR="00B27115" w:rsidRPr="00384792" w:rsidRDefault="15F8D81D" w:rsidP="146AC38E">
            <w:pPr>
              <w:jc w:val="right"/>
              <w:rPr>
                <w:rFonts w:eastAsia="Arial" w:cs="Arial"/>
                <w:sz w:val="20"/>
                <w:highlight w:val="yellow"/>
              </w:rPr>
            </w:pPr>
            <w:r w:rsidRPr="00384792">
              <w:rPr>
                <w:rFonts w:eastAsia="Arial" w:cs="Arial"/>
                <w:sz w:val="20"/>
              </w:rPr>
              <w:t>29.905</w:t>
            </w:r>
          </w:p>
        </w:tc>
        <w:tc>
          <w:tcPr>
            <w:tcW w:w="1358" w:type="dxa"/>
          </w:tcPr>
          <w:p w14:paraId="73B70E8C" w14:textId="505233A2" w:rsidR="00B27115" w:rsidRPr="00384792" w:rsidRDefault="15F8D81D" w:rsidP="146AC38E">
            <w:pPr>
              <w:jc w:val="right"/>
              <w:rPr>
                <w:rFonts w:eastAsia="Arial" w:cs="Arial"/>
                <w:sz w:val="20"/>
                <w:highlight w:val="yellow"/>
              </w:rPr>
            </w:pPr>
            <w:r w:rsidRPr="00384792">
              <w:rPr>
                <w:rFonts w:eastAsia="Arial" w:cs="Arial"/>
                <w:sz w:val="20"/>
              </w:rPr>
              <w:t>5.21</w:t>
            </w:r>
          </w:p>
        </w:tc>
        <w:tc>
          <w:tcPr>
            <w:tcW w:w="1288" w:type="dxa"/>
          </w:tcPr>
          <w:p w14:paraId="50B60DFD" w14:textId="46758FE8" w:rsidR="00B27115" w:rsidRPr="00384792" w:rsidRDefault="15F8D81D" w:rsidP="146AC38E">
            <w:pPr>
              <w:jc w:val="right"/>
              <w:rPr>
                <w:rFonts w:eastAsia="Arial" w:cs="Arial"/>
                <w:sz w:val="20"/>
                <w:highlight w:val="yellow"/>
              </w:rPr>
            </w:pPr>
            <w:r w:rsidRPr="00384792">
              <w:rPr>
                <w:rFonts w:eastAsia="Arial" w:cs="Arial"/>
                <w:sz w:val="20"/>
              </w:rPr>
              <w:t>5.26</w:t>
            </w:r>
          </w:p>
        </w:tc>
      </w:tr>
      <w:tr w:rsidR="00B27115" w:rsidRPr="00384792" w14:paraId="66280075" w14:textId="77777777" w:rsidTr="146AC38E">
        <w:trPr>
          <w:trHeight w:val="206"/>
        </w:trPr>
        <w:tc>
          <w:tcPr>
            <w:tcW w:w="1545" w:type="dxa"/>
          </w:tcPr>
          <w:p w14:paraId="010F8CAA" w14:textId="77777777" w:rsidR="00B27115" w:rsidRPr="00384792" w:rsidRDefault="15F8D81D" w:rsidP="146AC38E">
            <w:pPr>
              <w:jc w:val="both"/>
              <w:rPr>
                <w:rFonts w:eastAsia="Arial" w:cs="Arial"/>
                <w:sz w:val="20"/>
              </w:rPr>
            </w:pPr>
            <w:r w:rsidRPr="00384792">
              <w:rPr>
                <w:rFonts w:eastAsia="Arial" w:cs="Arial"/>
                <w:sz w:val="20"/>
              </w:rPr>
              <w:t>June</w:t>
            </w:r>
          </w:p>
        </w:tc>
        <w:tc>
          <w:tcPr>
            <w:tcW w:w="1351" w:type="dxa"/>
          </w:tcPr>
          <w:p w14:paraId="4C940C88" w14:textId="592B3585" w:rsidR="00B27115" w:rsidRPr="00384792" w:rsidRDefault="15F8D81D" w:rsidP="146AC38E">
            <w:pPr>
              <w:jc w:val="right"/>
              <w:rPr>
                <w:rFonts w:eastAsia="Arial" w:cs="Arial"/>
                <w:sz w:val="20"/>
                <w:highlight w:val="yellow"/>
              </w:rPr>
            </w:pPr>
            <w:r w:rsidRPr="00384792">
              <w:rPr>
                <w:rFonts w:eastAsia="Arial" w:cs="Arial"/>
                <w:sz w:val="20"/>
              </w:rPr>
              <w:t>21.680</w:t>
            </w:r>
          </w:p>
        </w:tc>
        <w:tc>
          <w:tcPr>
            <w:tcW w:w="1460" w:type="dxa"/>
          </w:tcPr>
          <w:p w14:paraId="66B18EC7" w14:textId="4B28ADA1" w:rsidR="00B27115" w:rsidRPr="00384792" w:rsidRDefault="15F8D81D" w:rsidP="146AC38E">
            <w:pPr>
              <w:jc w:val="right"/>
              <w:rPr>
                <w:rFonts w:eastAsia="Arial" w:cs="Arial"/>
                <w:sz w:val="20"/>
                <w:highlight w:val="yellow"/>
              </w:rPr>
            </w:pPr>
            <w:r w:rsidRPr="00384792">
              <w:rPr>
                <w:rFonts w:eastAsia="Arial" w:cs="Arial"/>
                <w:sz w:val="20"/>
              </w:rPr>
              <w:t>31.780</w:t>
            </w:r>
          </w:p>
        </w:tc>
        <w:tc>
          <w:tcPr>
            <w:tcW w:w="1461" w:type="dxa"/>
          </w:tcPr>
          <w:p w14:paraId="44BF57A3" w14:textId="12F9876E" w:rsidR="00B27115" w:rsidRPr="00384792" w:rsidRDefault="15F8D81D" w:rsidP="146AC38E">
            <w:pPr>
              <w:jc w:val="right"/>
              <w:rPr>
                <w:rFonts w:eastAsia="Arial" w:cs="Arial"/>
                <w:sz w:val="20"/>
                <w:highlight w:val="yellow"/>
              </w:rPr>
            </w:pPr>
            <w:r w:rsidRPr="00384792">
              <w:rPr>
                <w:rFonts w:eastAsia="Arial" w:cs="Arial"/>
                <w:sz w:val="20"/>
              </w:rPr>
              <w:t>21.680</w:t>
            </w:r>
          </w:p>
        </w:tc>
        <w:tc>
          <w:tcPr>
            <w:tcW w:w="1358" w:type="dxa"/>
          </w:tcPr>
          <w:p w14:paraId="7B91DEE7" w14:textId="246C8826" w:rsidR="00B27115" w:rsidRPr="00384792" w:rsidRDefault="15F8D81D" w:rsidP="146AC38E">
            <w:pPr>
              <w:jc w:val="right"/>
              <w:rPr>
                <w:rFonts w:eastAsia="Arial" w:cs="Arial"/>
                <w:sz w:val="20"/>
                <w:highlight w:val="yellow"/>
              </w:rPr>
            </w:pPr>
            <w:r w:rsidRPr="00384792">
              <w:rPr>
                <w:rFonts w:eastAsia="Arial" w:cs="Arial"/>
                <w:sz w:val="20"/>
              </w:rPr>
              <w:t>5.19</w:t>
            </w:r>
          </w:p>
        </w:tc>
        <w:tc>
          <w:tcPr>
            <w:tcW w:w="1288" w:type="dxa"/>
          </w:tcPr>
          <w:p w14:paraId="26214A31" w14:textId="629E988F" w:rsidR="00B27115" w:rsidRPr="00384792" w:rsidRDefault="15F8D81D" w:rsidP="146AC38E">
            <w:pPr>
              <w:jc w:val="right"/>
              <w:rPr>
                <w:rFonts w:eastAsia="Arial" w:cs="Arial"/>
                <w:sz w:val="20"/>
                <w:highlight w:val="yellow"/>
              </w:rPr>
            </w:pPr>
            <w:r w:rsidRPr="00384792">
              <w:rPr>
                <w:rFonts w:eastAsia="Arial" w:cs="Arial"/>
                <w:sz w:val="20"/>
              </w:rPr>
              <w:t>5.26</w:t>
            </w:r>
          </w:p>
        </w:tc>
      </w:tr>
      <w:tr w:rsidR="00B27115" w:rsidRPr="00384792" w14:paraId="1F9C799F" w14:textId="77777777" w:rsidTr="146AC38E">
        <w:trPr>
          <w:trHeight w:val="206"/>
        </w:trPr>
        <w:tc>
          <w:tcPr>
            <w:tcW w:w="1545" w:type="dxa"/>
          </w:tcPr>
          <w:p w14:paraId="27A66D5C" w14:textId="77777777" w:rsidR="00B27115" w:rsidRPr="00384792" w:rsidRDefault="15F8D81D" w:rsidP="146AC38E">
            <w:pPr>
              <w:jc w:val="both"/>
              <w:rPr>
                <w:rFonts w:eastAsia="Arial" w:cs="Arial"/>
                <w:sz w:val="20"/>
              </w:rPr>
            </w:pPr>
            <w:r w:rsidRPr="00384792">
              <w:rPr>
                <w:rFonts w:eastAsia="Arial" w:cs="Arial"/>
                <w:sz w:val="20"/>
              </w:rPr>
              <w:t>July</w:t>
            </w:r>
          </w:p>
        </w:tc>
        <w:tc>
          <w:tcPr>
            <w:tcW w:w="1351" w:type="dxa"/>
          </w:tcPr>
          <w:p w14:paraId="36BE28A1" w14:textId="7F3E7C7E" w:rsidR="00B27115" w:rsidRPr="00384792" w:rsidRDefault="15F8D81D" w:rsidP="146AC38E">
            <w:pPr>
              <w:jc w:val="right"/>
              <w:rPr>
                <w:rFonts w:eastAsia="Arial" w:cs="Arial"/>
                <w:sz w:val="20"/>
                <w:highlight w:val="yellow"/>
              </w:rPr>
            </w:pPr>
            <w:r w:rsidRPr="00384792">
              <w:rPr>
                <w:rFonts w:eastAsia="Arial" w:cs="Arial"/>
                <w:sz w:val="20"/>
              </w:rPr>
              <w:t>14.500</w:t>
            </w:r>
          </w:p>
        </w:tc>
        <w:tc>
          <w:tcPr>
            <w:tcW w:w="1460" w:type="dxa"/>
          </w:tcPr>
          <w:p w14:paraId="382989E5" w14:textId="3DF96AE1" w:rsidR="00B27115" w:rsidRPr="00384792" w:rsidRDefault="15F8D81D" w:rsidP="146AC38E">
            <w:pPr>
              <w:jc w:val="right"/>
              <w:rPr>
                <w:rFonts w:eastAsia="Arial" w:cs="Arial"/>
                <w:sz w:val="20"/>
                <w:highlight w:val="yellow"/>
              </w:rPr>
            </w:pPr>
            <w:r w:rsidRPr="00384792">
              <w:rPr>
                <w:rFonts w:eastAsia="Arial" w:cs="Arial"/>
                <w:sz w:val="20"/>
              </w:rPr>
              <w:t>23.000</w:t>
            </w:r>
          </w:p>
        </w:tc>
        <w:tc>
          <w:tcPr>
            <w:tcW w:w="1461" w:type="dxa"/>
          </w:tcPr>
          <w:p w14:paraId="2C9BF521" w14:textId="461D0CC6" w:rsidR="00B27115" w:rsidRPr="00384792" w:rsidRDefault="15F8D81D" w:rsidP="146AC38E">
            <w:pPr>
              <w:jc w:val="right"/>
              <w:rPr>
                <w:rFonts w:eastAsia="Arial" w:cs="Arial"/>
                <w:sz w:val="20"/>
                <w:highlight w:val="yellow"/>
              </w:rPr>
            </w:pPr>
            <w:r w:rsidRPr="00384792">
              <w:rPr>
                <w:rFonts w:eastAsia="Arial" w:cs="Arial"/>
                <w:sz w:val="20"/>
              </w:rPr>
              <w:t>14.500</w:t>
            </w:r>
          </w:p>
        </w:tc>
        <w:tc>
          <w:tcPr>
            <w:tcW w:w="1358" w:type="dxa"/>
          </w:tcPr>
          <w:p w14:paraId="7617ABC8" w14:textId="3D77E38E" w:rsidR="00B27115" w:rsidRPr="00384792" w:rsidRDefault="15F8D81D" w:rsidP="146AC38E">
            <w:pPr>
              <w:jc w:val="right"/>
              <w:rPr>
                <w:rFonts w:eastAsia="Arial" w:cs="Arial"/>
                <w:sz w:val="20"/>
                <w:highlight w:val="yellow"/>
              </w:rPr>
            </w:pPr>
            <w:r w:rsidRPr="00384792">
              <w:rPr>
                <w:rFonts w:eastAsia="Arial" w:cs="Arial"/>
                <w:sz w:val="20"/>
              </w:rPr>
              <w:t>5.18</w:t>
            </w:r>
          </w:p>
        </w:tc>
        <w:tc>
          <w:tcPr>
            <w:tcW w:w="1288" w:type="dxa"/>
          </w:tcPr>
          <w:p w14:paraId="05260BB9" w14:textId="2AE1F69B" w:rsidR="00B27115" w:rsidRPr="00384792" w:rsidRDefault="15F8D81D" w:rsidP="146AC38E">
            <w:pPr>
              <w:jc w:val="right"/>
              <w:rPr>
                <w:rFonts w:eastAsia="Arial" w:cs="Arial"/>
                <w:sz w:val="20"/>
                <w:highlight w:val="yellow"/>
              </w:rPr>
            </w:pPr>
            <w:r w:rsidRPr="00384792">
              <w:rPr>
                <w:rFonts w:eastAsia="Arial" w:cs="Arial"/>
                <w:sz w:val="20"/>
              </w:rPr>
              <w:t>5.23</w:t>
            </w:r>
          </w:p>
        </w:tc>
      </w:tr>
      <w:tr w:rsidR="00B27115" w:rsidRPr="00384792" w14:paraId="22561FC2" w14:textId="77777777" w:rsidTr="146AC38E">
        <w:trPr>
          <w:trHeight w:val="221"/>
        </w:trPr>
        <w:tc>
          <w:tcPr>
            <w:tcW w:w="1545" w:type="dxa"/>
          </w:tcPr>
          <w:p w14:paraId="50F29231" w14:textId="77777777" w:rsidR="00B27115" w:rsidRPr="00384792" w:rsidRDefault="15F8D81D" w:rsidP="146AC38E">
            <w:pPr>
              <w:jc w:val="both"/>
              <w:rPr>
                <w:rFonts w:eastAsia="Arial" w:cs="Arial"/>
                <w:sz w:val="20"/>
              </w:rPr>
            </w:pPr>
            <w:r w:rsidRPr="00384792">
              <w:rPr>
                <w:rFonts w:eastAsia="Arial" w:cs="Arial"/>
                <w:sz w:val="20"/>
              </w:rPr>
              <w:t>August</w:t>
            </w:r>
          </w:p>
        </w:tc>
        <w:tc>
          <w:tcPr>
            <w:tcW w:w="1351" w:type="dxa"/>
          </w:tcPr>
          <w:p w14:paraId="04DF3BF2" w14:textId="58FA5B50" w:rsidR="00B27115" w:rsidRPr="00384792" w:rsidRDefault="15F8D81D" w:rsidP="146AC38E">
            <w:pPr>
              <w:jc w:val="right"/>
              <w:rPr>
                <w:rFonts w:eastAsia="Arial" w:cs="Arial"/>
                <w:sz w:val="20"/>
                <w:highlight w:val="yellow"/>
              </w:rPr>
            </w:pPr>
            <w:r w:rsidRPr="00384792">
              <w:rPr>
                <w:rFonts w:eastAsia="Arial" w:cs="Arial"/>
                <w:sz w:val="20"/>
              </w:rPr>
              <w:t xml:space="preserve">  8.650</w:t>
            </w:r>
          </w:p>
        </w:tc>
        <w:tc>
          <w:tcPr>
            <w:tcW w:w="1460" w:type="dxa"/>
          </w:tcPr>
          <w:p w14:paraId="030B53BD" w14:textId="3C7FA0A6" w:rsidR="00B27115" w:rsidRPr="00384792" w:rsidRDefault="15F8D81D" w:rsidP="146AC38E">
            <w:pPr>
              <w:jc w:val="right"/>
              <w:rPr>
                <w:rFonts w:eastAsia="Arial" w:cs="Arial"/>
                <w:sz w:val="20"/>
                <w:highlight w:val="yellow"/>
              </w:rPr>
            </w:pPr>
            <w:r w:rsidRPr="00384792">
              <w:rPr>
                <w:rFonts w:eastAsia="Arial" w:cs="Arial"/>
                <w:sz w:val="20"/>
              </w:rPr>
              <w:t>19.695</w:t>
            </w:r>
          </w:p>
        </w:tc>
        <w:tc>
          <w:tcPr>
            <w:tcW w:w="1461" w:type="dxa"/>
          </w:tcPr>
          <w:p w14:paraId="64981C33" w14:textId="27959332" w:rsidR="00B27115" w:rsidRPr="00384792" w:rsidRDefault="15F8D81D" w:rsidP="146AC38E">
            <w:pPr>
              <w:jc w:val="right"/>
              <w:rPr>
                <w:rFonts w:eastAsia="Arial" w:cs="Arial"/>
                <w:sz w:val="20"/>
                <w:highlight w:val="yellow"/>
              </w:rPr>
            </w:pPr>
            <w:r w:rsidRPr="00384792">
              <w:rPr>
                <w:rFonts w:eastAsia="Arial" w:cs="Arial"/>
                <w:sz w:val="20"/>
              </w:rPr>
              <w:t>8.650</w:t>
            </w:r>
          </w:p>
        </w:tc>
        <w:tc>
          <w:tcPr>
            <w:tcW w:w="1358" w:type="dxa"/>
          </w:tcPr>
          <w:p w14:paraId="3A7EC69E" w14:textId="253BFDC1" w:rsidR="00B27115" w:rsidRPr="00384792" w:rsidRDefault="15F8D81D" w:rsidP="146AC38E">
            <w:pPr>
              <w:jc w:val="right"/>
              <w:rPr>
                <w:rFonts w:eastAsia="Arial" w:cs="Arial"/>
                <w:sz w:val="20"/>
                <w:highlight w:val="yellow"/>
              </w:rPr>
            </w:pPr>
            <w:r w:rsidRPr="00384792">
              <w:rPr>
                <w:rFonts w:eastAsia="Arial" w:cs="Arial"/>
                <w:sz w:val="20"/>
              </w:rPr>
              <w:t>5.04</w:t>
            </w:r>
          </w:p>
        </w:tc>
        <w:tc>
          <w:tcPr>
            <w:tcW w:w="1288" w:type="dxa"/>
          </w:tcPr>
          <w:p w14:paraId="2C967012" w14:textId="71262A5C" w:rsidR="00B27115" w:rsidRPr="00384792" w:rsidRDefault="15F8D81D" w:rsidP="146AC38E">
            <w:pPr>
              <w:jc w:val="right"/>
              <w:rPr>
                <w:rFonts w:eastAsia="Arial" w:cs="Arial"/>
                <w:sz w:val="20"/>
                <w:highlight w:val="yellow"/>
              </w:rPr>
            </w:pPr>
            <w:r w:rsidRPr="00384792">
              <w:rPr>
                <w:rFonts w:eastAsia="Arial" w:cs="Arial"/>
                <w:sz w:val="20"/>
              </w:rPr>
              <w:t>5.21</w:t>
            </w:r>
          </w:p>
        </w:tc>
      </w:tr>
      <w:tr w:rsidR="00B27115" w:rsidRPr="00384792" w14:paraId="7FC107BC" w14:textId="77777777" w:rsidTr="146AC38E">
        <w:trPr>
          <w:trHeight w:val="206"/>
        </w:trPr>
        <w:tc>
          <w:tcPr>
            <w:tcW w:w="1545" w:type="dxa"/>
          </w:tcPr>
          <w:p w14:paraId="5D0D1850" w14:textId="77777777" w:rsidR="00B27115" w:rsidRPr="00384792" w:rsidRDefault="15F8D81D" w:rsidP="146AC38E">
            <w:pPr>
              <w:jc w:val="both"/>
              <w:rPr>
                <w:rFonts w:eastAsia="Arial" w:cs="Arial"/>
                <w:sz w:val="20"/>
              </w:rPr>
            </w:pPr>
            <w:r w:rsidRPr="00384792">
              <w:rPr>
                <w:rFonts w:eastAsia="Arial" w:cs="Arial"/>
                <w:sz w:val="20"/>
              </w:rPr>
              <w:t>September</w:t>
            </w:r>
          </w:p>
        </w:tc>
        <w:tc>
          <w:tcPr>
            <w:tcW w:w="1351" w:type="dxa"/>
          </w:tcPr>
          <w:p w14:paraId="5A6A8FCD" w14:textId="4528080C" w:rsidR="00B27115" w:rsidRPr="00384792" w:rsidRDefault="15F8D81D" w:rsidP="146AC38E">
            <w:pPr>
              <w:jc w:val="right"/>
              <w:rPr>
                <w:rFonts w:eastAsia="Arial" w:cs="Arial"/>
                <w:sz w:val="20"/>
                <w:highlight w:val="yellow"/>
              </w:rPr>
            </w:pPr>
            <w:r w:rsidRPr="00384792">
              <w:rPr>
                <w:rFonts w:eastAsia="Arial" w:cs="Arial"/>
                <w:sz w:val="20"/>
              </w:rPr>
              <w:t xml:space="preserve">  2.110</w:t>
            </w:r>
          </w:p>
        </w:tc>
        <w:tc>
          <w:tcPr>
            <w:tcW w:w="1460" w:type="dxa"/>
          </w:tcPr>
          <w:p w14:paraId="451B840A" w14:textId="6BA0CBE2" w:rsidR="00B27115" w:rsidRPr="00384792" w:rsidRDefault="15F8D81D" w:rsidP="146AC38E">
            <w:pPr>
              <w:jc w:val="right"/>
              <w:rPr>
                <w:rFonts w:eastAsia="Arial" w:cs="Arial"/>
                <w:sz w:val="20"/>
                <w:highlight w:val="yellow"/>
              </w:rPr>
            </w:pPr>
            <w:r w:rsidRPr="00384792">
              <w:rPr>
                <w:rFonts w:eastAsia="Arial" w:cs="Arial"/>
                <w:sz w:val="20"/>
              </w:rPr>
              <w:t>25.910</w:t>
            </w:r>
          </w:p>
        </w:tc>
        <w:tc>
          <w:tcPr>
            <w:tcW w:w="1461" w:type="dxa"/>
          </w:tcPr>
          <w:p w14:paraId="4BA541EF" w14:textId="183518EC" w:rsidR="00B27115" w:rsidRPr="00384792" w:rsidRDefault="15F8D81D" w:rsidP="146AC38E">
            <w:pPr>
              <w:jc w:val="right"/>
              <w:rPr>
                <w:rFonts w:eastAsia="Arial" w:cs="Arial"/>
                <w:sz w:val="20"/>
                <w:highlight w:val="yellow"/>
              </w:rPr>
            </w:pPr>
            <w:r w:rsidRPr="00384792">
              <w:rPr>
                <w:rFonts w:eastAsia="Arial" w:cs="Arial"/>
                <w:sz w:val="20"/>
              </w:rPr>
              <w:t>23.235</w:t>
            </w:r>
          </w:p>
        </w:tc>
        <w:tc>
          <w:tcPr>
            <w:tcW w:w="1358" w:type="dxa"/>
          </w:tcPr>
          <w:p w14:paraId="1DDF408C" w14:textId="3B2E0624" w:rsidR="00B27115" w:rsidRPr="00384792" w:rsidRDefault="15F8D81D" w:rsidP="146AC38E">
            <w:pPr>
              <w:jc w:val="right"/>
              <w:rPr>
                <w:rFonts w:eastAsia="Arial" w:cs="Arial"/>
                <w:sz w:val="20"/>
                <w:highlight w:val="yellow"/>
              </w:rPr>
            </w:pPr>
            <w:r w:rsidRPr="00384792">
              <w:rPr>
                <w:rFonts w:eastAsia="Arial" w:cs="Arial"/>
                <w:sz w:val="20"/>
              </w:rPr>
              <w:t>5.00</w:t>
            </w:r>
          </w:p>
        </w:tc>
        <w:tc>
          <w:tcPr>
            <w:tcW w:w="1288" w:type="dxa"/>
          </w:tcPr>
          <w:p w14:paraId="18BC02B8" w14:textId="12DA166F" w:rsidR="00B27115" w:rsidRPr="00384792" w:rsidRDefault="15F8D81D" w:rsidP="146AC38E">
            <w:pPr>
              <w:jc w:val="right"/>
              <w:rPr>
                <w:rFonts w:eastAsia="Arial" w:cs="Arial"/>
                <w:sz w:val="20"/>
                <w:highlight w:val="yellow"/>
              </w:rPr>
            </w:pPr>
            <w:r w:rsidRPr="00384792">
              <w:rPr>
                <w:rFonts w:eastAsia="Arial" w:cs="Arial"/>
                <w:sz w:val="20"/>
              </w:rPr>
              <w:t>5.08</w:t>
            </w:r>
          </w:p>
        </w:tc>
      </w:tr>
      <w:tr w:rsidR="001F1DA3" w:rsidRPr="00384792" w14:paraId="6C9DEE43" w14:textId="77777777" w:rsidTr="146AC38E">
        <w:trPr>
          <w:trHeight w:val="206"/>
        </w:trPr>
        <w:tc>
          <w:tcPr>
            <w:tcW w:w="1545" w:type="dxa"/>
          </w:tcPr>
          <w:p w14:paraId="2B52AEA9" w14:textId="77777777" w:rsidR="001F1DA3" w:rsidRPr="00384792" w:rsidRDefault="168613ED" w:rsidP="146AC38E">
            <w:pPr>
              <w:jc w:val="both"/>
              <w:rPr>
                <w:rFonts w:eastAsia="Arial" w:cs="Arial"/>
                <w:sz w:val="20"/>
              </w:rPr>
            </w:pPr>
            <w:r w:rsidRPr="00384792">
              <w:rPr>
                <w:rFonts w:eastAsia="Arial" w:cs="Arial"/>
                <w:sz w:val="20"/>
              </w:rPr>
              <w:t>October</w:t>
            </w:r>
          </w:p>
        </w:tc>
        <w:tc>
          <w:tcPr>
            <w:tcW w:w="1351" w:type="dxa"/>
            <w:vAlign w:val="bottom"/>
          </w:tcPr>
          <w:p w14:paraId="1E034A82" w14:textId="1505B5F2" w:rsidR="001F1DA3" w:rsidRPr="00384792" w:rsidRDefault="168613ED" w:rsidP="146AC38E">
            <w:pPr>
              <w:jc w:val="right"/>
              <w:rPr>
                <w:rFonts w:eastAsia="Arial" w:cs="Arial"/>
                <w:sz w:val="20"/>
                <w:highlight w:val="yellow"/>
              </w:rPr>
            </w:pPr>
            <w:r w:rsidRPr="00384792">
              <w:rPr>
                <w:rFonts w:eastAsia="Arial" w:cs="Arial"/>
                <w:sz w:val="20"/>
              </w:rPr>
              <w:t>15.035</w:t>
            </w:r>
          </w:p>
        </w:tc>
        <w:tc>
          <w:tcPr>
            <w:tcW w:w="1460" w:type="dxa"/>
            <w:vAlign w:val="bottom"/>
          </w:tcPr>
          <w:p w14:paraId="7F4E3125" w14:textId="1721C1C2" w:rsidR="001F1DA3" w:rsidRPr="00384792" w:rsidRDefault="168613ED" w:rsidP="146AC38E">
            <w:pPr>
              <w:jc w:val="right"/>
              <w:rPr>
                <w:rFonts w:eastAsia="Arial" w:cs="Arial"/>
                <w:sz w:val="20"/>
                <w:highlight w:val="yellow"/>
              </w:rPr>
            </w:pPr>
            <w:r w:rsidRPr="00384792">
              <w:rPr>
                <w:rFonts w:eastAsia="Arial" w:cs="Arial"/>
                <w:sz w:val="20"/>
              </w:rPr>
              <w:t>24.360</w:t>
            </w:r>
          </w:p>
        </w:tc>
        <w:tc>
          <w:tcPr>
            <w:tcW w:w="1461" w:type="dxa"/>
            <w:vAlign w:val="bottom"/>
          </w:tcPr>
          <w:p w14:paraId="75C04310" w14:textId="0512F5D7" w:rsidR="001F1DA3" w:rsidRPr="00384792" w:rsidRDefault="168613ED" w:rsidP="146AC38E">
            <w:pPr>
              <w:jc w:val="right"/>
              <w:rPr>
                <w:rFonts w:eastAsia="Arial" w:cs="Arial"/>
                <w:sz w:val="20"/>
                <w:highlight w:val="yellow"/>
              </w:rPr>
            </w:pPr>
            <w:r w:rsidRPr="00384792">
              <w:rPr>
                <w:rFonts w:eastAsia="Arial" w:cs="Arial"/>
                <w:sz w:val="20"/>
              </w:rPr>
              <w:t>15.035</w:t>
            </w:r>
          </w:p>
        </w:tc>
        <w:tc>
          <w:tcPr>
            <w:tcW w:w="1358" w:type="dxa"/>
            <w:vAlign w:val="bottom"/>
          </w:tcPr>
          <w:p w14:paraId="6BD9A8EF" w14:textId="1A66A2F1" w:rsidR="001F1DA3" w:rsidRPr="00384792" w:rsidRDefault="168613ED" w:rsidP="146AC38E">
            <w:pPr>
              <w:jc w:val="right"/>
              <w:rPr>
                <w:rFonts w:eastAsia="Arial" w:cs="Arial"/>
                <w:sz w:val="20"/>
                <w:highlight w:val="yellow"/>
              </w:rPr>
            </w:pPr>
            <w:r w:rsidRPr="00384792">
              <w:rPr>
                <w:rFonts w:eastAsia="Arial" w:cs="Arial"/>
                <w:color w:val="000000" w:themeColor="text1"/>
                <w:sz w:val="20"/>
              </w:rPr>
              <w:t>4.93</w:t>
            </w:r>
          </w:p>
        </w:tc>
        <w:tc>
          <w:tcPr>
            <w:tcW w:w="1288" w:type="dxa"/>
            <w:vAlign w:val="bottom"/>
          </w:tcPr>
          <w:p w14:paraId="1832B6DD" w14:textId="6E85A794" w:rsidR="001F1DA3" w:rsidRPr="00384792" w:rsidRDefault="168613ED" w:rsidP="146AC38E">
            <w:pPr>
              <w:jc w:val="right"/>
              <w:rPr>
                <w:rFonts w:eastAsia="Arial" w:cs="Arial"/>
                <w:sz w:val="20"/>
                <w:highlight w:val="yellow"/>
              </w:rPr>
            </w:pPr>
            <w:r w:rsidRPr="00384792">
              <w:rPr>
                <w:rFonts w:eastAsia="Arial" w:cs="Arial"/>
                <w:color w:val="000000" w:themeColor="text1"/>
                <w:sz w:val="20"/>
              </w:rPr>
              <w:t>5.00</w:t>
            </w:r>
          </w:p>
        </w:tc>
      </w:tr>
      <w:tr w:rsidR="001F1DA3" w:rsidRPr="00384792" w14:paraId="44793701" w14:textId="77777777" w:rsidTr="146AC38E">
        <w:trPr>
          <w:trHeight w:val="221"/>
        </w:trPr>
        <w:tc>
          <w:tcPr>
            <w:tcW w:w="1545" w:type="dxa"/>
          </w:tcPr>
          <w:p w14:paraId="01CA601A" w14:textId="77777777" w:rsidR="001F1DA3" w:rsidRPr="00384792" w:rsidRDefault="168613ED" w:rsidP="146AC38E">
            <w:pPr>
              <w:jc w:val="both"/>
              <w:rPr>
                <w:rFonts w:eastAsia="Arial" w:cs="Arial"/>
                <w:sz w:val="20"/>
              </w:rPr>
            </w:pPr>
            <w:r w:rsidRPr="00384792">
              <w:rPr>
                <w:rFonts w:eastAsia="Arial" w:cs="Arial"/>
                <w:sz w:val="20"/>
              </w:rPr>
              <w:t>November</w:t>
            </w:r>
          </w:p>
        </w:tc>
        <w:tc>
          <w:tcPr>
            <w:tcW w:w="1351" w:type="dxa"/>
            <w:vAlign w:val="bottom"/>
          </w:tcPr>
          <w:p w14:paraId="4BD57E51" w14:textId="436DDBB9" w:rsidR="001F1DA3" w:rsidRPr="00384792" w:rsidRDefault="168613ED" w:rsidP="146AC38E">
            <w:pPr>
              <w:jc w:val="right"/>
              <w:rPr>
                <w:rFonts w:eastAsia="Arial" w:cs="Arial"/>
                <w:sz w:val="20"/>
                <w:highlight w:val="yellow"/>
              </w:rPr>
            </w:pPr>
            <w:r w:rsidRPr="00384792">
              <w:rPr>
                <w:rFonts w:eastAsia="Arial" w:cs="Arial"/>
                <w:sz w:val="20"/>
              </w:rPr>
              <w:t>6.000</w:t>
            </w:r>
          </w:p>
        </w:tc>
        <w:tc>
          <w:tcPr>
            <w:tcW w:w="1460" w:type="dxa"/>
            <w:vAlign w:val="bottom"/>
          </w:tcPr>
          <w:p w14:paraId="585BBE19" w14:textId="68931EE6" w:rsidR="001F1DA3" w:rsidRPr="00384792" w:rsidRDefault="168613ED" w:rsidP="146AC38E">
            <w:pPr>
              <w:jc w:val="right"/>
              <w:rPr>
                <w:rFonts w:eastAsia="Arial" w:cs="Arial"/>
                <w:sz w:val="20"/>
                <w:highlight w:val="yellow"/>
              </w:rPr>
            </w:pPr>
            <w:r w:rsidRPr="00384792">
              <w:rPr>
                <w:rFonts w:eastAsia="Arial" w:cs="Arial"/>
                <w:sz w:val="20"/>
              </w:rPr>
              <w:t>17.385</w:t>
            </w:r>
          </w:p>
        </w:tc>
        <w:tc>
          <w:tcPr>
            <w:tcW w:w="1461" w:type="dxa"/>
            <w:vAlign w:val="bottom"/>
          </w:tcPr>
          <w:p w14:paraId="5298994D" w14:textId="6F153D76" w:rsidR="001F1DA3" w:rsidRPr="00384792" w:rsidRDefault="168613ED" w:rsidP="146AC38E">
            <w:pPr>
              <w:jc w:val="right"/>
              <w:rPr>
                <w:rFonts w:eastAsia="Arial" w:cs="Arial"/>
                <w:sz w:val="20"/>
                <w:highlight w:val="yellow"/>
              </w:rPr>
            </w:pPr>
            <w:r w:rsidRPr="00384792">
              <w:rPr>
                <w:rFonts w:eastAsia="Arial" w:cs="Arial"/>
                <w:sz w:val="20"/>
              </w:rPr>
              <w:t>6.000</w:t>
            </w:r>
          </w:p>
        </w:tc>
        <w:tc>
          <w:tcPr>
            <w:tcW w:w="1358" w:type="dxa"/>
            <w:vAlign w:val="bottom"/>
          </w:tcPr>
          <w:p w14:paraId="433DFF1B" w14:textId="187AC32B" w:rsidR="001F1DA3" w:rsidRPr="00384792" w:rsidRDefault="168613ED" w:rsidP="146AC38E">
            <w:pPr>
              <w:jc w:val="right"/>
              <w:rPr>
                <w:rFonts w:eastAsia="Arial" w:cs="Arial"/>
                <w:sz w:val="20"/>
                <w:highlight w:val="yellow"/>
              </w:rPr>
            </w:pPr>
            <w:r w:rsidRPr="00384792">
              <w:rPr>
                <w:rFonts w:eastAsia="Arial" w:cs="Arial"/>
                <w:color w:val="000000" w:themeColor="text1"/>
                <w:sz w:val="20"/>
              </w:rPr>
              <w:t>4.79</w:t>
            </w:r>
          </w:p>
        </w:tc>
        <w:tc>
          <w:tcPr>
            <w:tcW w:w="1288" w:type="dxa"/>
            <w:vAlign w:val="bottom"/>
          </w:tcPr>
          <w:p w14:paraId="3C708A5F" w14:textId="389DF966" w:rsidR="001F1DA3" w:rsidRPr="00384792" w:rsidRDefault="168613ED" w:rsidP="146AC38E">
            <w:pPr>
              <w:jc w:val="right"/>
              <w:rPr>
                <w:rFonts w:eastAsia="Arial" w:cs="Arial"/>
                <w:sz w:val="20"/>
                <w:highlight w:val="yellow"/>
              </w:rPr>
            </w:pPr>
            <w:r w:rsidRPr="00384792">
              <w:rPr>
                <w:rFonts w:eastAsia="Arial" w:cs="Arial"/>
                <w:color w:val="000000" w:themeColor="text1"/>
                <w:sz w:val="20"/>
              </w:rPr>
              <w:t>4.95</w:t>
            </w:r>
          </w:p>
        </w:tc>
      </w:tr>
      <w:tr w:rsidR="001F1DA3" w:rsidRPr="00384792" w14:paraId="36CF216A" w14:textId="77777777" w:rsidTr="146AC38E">
        <w:trPr>
          <w:trHeight w:val="206"/>
        </w:trPr>
        <w:tc>
          <w:tcPr>
            <w:tcW w:w="1545" w:type="dxa"/>
          </w:tcPr>
          <w:p w14:paraId="793FE8B1" w14:textId="77777777" w:rsidR="001F1DA3" w:rsidRPr="00384792" w:rsidRDefault="168613ED" w:rsidP="146AC38E">
            <w:pPr>
              <w:jc w:val="both"/>
              <w:rPr>
                <w:rFonts w:eastAsia="Arial" w:cs="Arial"/>
                <w:sz w:val="20"/>
              </w:rPr>
            </w:pPr>
            <w:r w:rsidRPr="00384792">
              <w:rPr>
                <w:rFonts w:eastAsia="Arial" w:cs="Arial"/>
                <w:sz w:val="20"/>
              </w:rPr>
              <w:t>December</w:t>
            </w:r>
          </w:p>
        </w:tc>
        <w:tc>
          <w:tcPr>
            <w:tcW w:w="1351" w:type="dxa"/>
            <w:vAlign w:val="bottom"/>
          </w:tcPr>
          <w:p w14:paraId="23CECB82" w14:textId="1CE3C4E4" w:rsidR="001F1DA3" w:rsidRPr="00384792" w:rsidRDefault="168613ED" w:rsidP="146AC38E">
            <w:pPr>
              <w:jc w:val="right"/>
              <w:rPr>
                <w:rFonts w:eastAsia="Arial" w:cs="Arial"/>
                <w:sz w:val="20"/>
                <w:highlight w:val="yellow"/>
              </w:rPr>
            </w:pPr>
            <w:r w:rsidRPr="00384792">
              <w:rPr>
                <w:rFonts w:eastAsia="Arial" w:cs="Arial"/>
                <w:sz w:val="20"/>
              </w:rPr>
              <w:t>5.900</w:t>
            </w:r>
          </w:p>
        </w:tc>
        <w:tc>
          <w:tcPr>
            <w:tcW w:w="1460" w:type="dxa"/>
            <w:vAlign w:val="bottom"/>
          </w:tcPr>
          <w:p w14:paraId="4F6201C8" w14:textId="69051D64" w:rsidR="001F1DA3" w:rsidRPr="00384792" w:rsidRDefault="168613ED" w:rsidP="146AC38E">
            <w:pPr>
              <w:jc w:val="right"/>
              <w:rPr>
                <w:rFonts w:eastAsia="Arial" w:cs="Arial"/>
                <w:sz w:val="20"/>
                <w:highlight w:val="yellow"/>
              </w:rPr>
            </w:pPr>
            <w:r w:rsidRPr="00384792">
              <w:rPr>
                <w:rFonts w:eastAsia="Arial" w:cs="Arial"/>
                <w:sz w:val="20"/>
              </w:rPr>
              <w:t>30.165</w:t>
            </w:r>
          </w:p>
        </w:tc>
        <w:tc>
          <w:tcPr>
            <w:tcW w:w="1461" w:type="dxa"/>
            <w:vAlign w:val="bottom"/>
          </w:tcPr>
          <w:p w14:paraId="7DEB4166" w14:textId="044578DF" w:rsidR="001F1DA3" w:rsidRPr="00384792" w:rsidRDefault="168613ED" w:rsidP="146AC38E">
            <w:pPr>
              <w:jc w:val="right"/>
              <w:rPr>
                <w:rFonts w:eastAsia="Arial" w:cs="Arial"/>
                <w:sz w:val="20"/>
                <w:highlight w:val="yellow"/>
              </w:rPr>
            </w:pPr>
            <w:r w:rsidRPr="00384792">
              <w:rPr>
                <w:rFonts w:eastAsia="Arial" w:cs="Arial"/>
                <w:sz w:val="20"/>
              </w:rPr>
              <w:t>18.640</w:t>
            </w:r>
          </w:p>
        </w:tc>
        <w:tc>
          <w:tcPr>
            <w:tcW w:w="1358" w:type="dxa"/>
            <w:vAlign w:val="bottom"/>
          </w:tcPr>
          <w:p w14:paraId="4538EDE6" w14:textId="1F75A169" w:rsidR="001F1DA3" w:rsidRPr="00384792" w:rsidRDefault="168613ED" w:rsidP="146AC38E">
            <w:pPr>
              <w:jc w:val="right"/>
              <w:rPr>
                <w:rFonts w:eastAsia="Arial" w:cs="Arial"/>
                <w:sz w:val="20"/>
                <w:highlight w:val="yellow"/>
              </w:rPr>
            </w:pPr>
            <w:r w:rsidRPr="00384792">
              <w:rPr>
                <w:rFonts w:eastAsia="Arial" w:cs="Arial"/>
                <w:color w:val="000000" w:themeColor="text1"/>
                <w:sz w:val="20"/>
              </w:rPr>
              <w:t>4.74</w:t>
            </w:r>
          </w:p>
        </w:tc>
        <w:tc>
          <w:tcPr>
            <w:tcW w:w="1288" w:type="dxa"/>
            <w:vAlign w:val="bottom"/>
          </w:tcPr>
          <w:p w14:paraId="340B7688" w14:textId="7EBE0D6F" w:rsidR="001F1DA3" w:rsidRPr="00384792" w:rsidRDefault="168613ED" w:rsidP="146AC38E">
            <w:pPr>
              <w:jc w:val="right"/>
              <w:rPr>
                <w:rFonts w:eastAsia="Arial" w:cs="Arial"/>
                <w:sz w:val="20"/>
                <w:highlight w:val="yellow"/>
              </w:rPr>
            </w:pPr>
            <w:r w:rsidRPr="00384792">
              <w:rPr>
                <w:rFonts w:eastAsia="Arial" w:cs="Arial"/>
                <w:color w:val="000000" w:themeColor="text1"/>
                <w:sz w:val="20"/>
              </w:rPr>
              <w:t>4.79</w:t>
            </w:r>
          </w:p>
        </w:tc>
      </w:tr>
      <w:tr w:rsidR="001F1DA3" w:rsidRPr="00384792" w14:paraId="6DE45131" w14:textId="77777777" w:rsidTr="146AC38E">
        <w:trPr>
          <w:trHeight w:val="206"/>
        </w:trPr>
        <w:tc>
          <w:tcPr>
            <w:tcW w:w="1545" w:type="dxa"/>
          </w:tcPr>
          <w:p w14:paraId="4341A976" w14:textId="47C19A3C" w:rsidR="001F1DA3" w:rsidRPr="00384792" w:rsidRDefault="168613ED" w:rsidP="146AC38E">
            <w:pPr>
              <w:jc w:val="both"/>
              <w:rPr>
                <w:rFonts w:eastAsia="Arial" w:cs="Arial"/>
                <w:sz w:val="20"/>
              </w:rPr>
            </w:pPr>
            <w:r w:rsidRPr="00384792">
              <w:rPr>
                <w:rFonts w:eastAsia="Arial" w:cs="Arial"/>
                <w:sz w:val="20"/>
              </w:rPr>
              <w:t>January 2025</w:t>
            </w:r>
          </w:p>
        </w:tc>
        <w:tc>
          <w:tcPr>
            <w:tcW w:w="1351" w:type="dxa"/>
            <w:vAlign w:val="bottom"/>
          </w:tcPr>
          <w:p w14:paraId="490EF86C" w14:textId="783AB9EE" w:rsidR="001F1DA3" w:rsidRPr="00384792" w:rsidRDefault="168613ED" w:rsidP="146AC38E">
            <w:pPr>
              <w:jc w:val="right"/>
              <w:rPr>
                <w:rFonts w:eastAsia="Arial" w:cs="Arial"/>
                <w:sz w:val="20"/>
                <w:highlight w:val="yellow"/>
              </w:rPr>
            </w:pPr>
            <w:r w:rsidRPr="00384792">
              <w:rPr>
                <w:rFonts w:eastAsia="Arial" w:cs="Arial"/>
                <w:sz w:val="20"/>
              </w:rPr>
              <w:t>8.825</w:t>
            </w:r>
          </w:p>
        </w:tc>
        <w:tc>
          <w:tcPr>
            <w:tcW w:w="1460" w:type="dxa"/>
            <w:vAlign w:val="bottom"/>
          </w:tcPr>
          <w:p w14:paraId="5E5D17EE" w14:textId="7FFBE521" w:rsidR="001F1DA3" w:rsidRPr="00384792" w:rsidRDefault="168613ED" w:rsidP="146AC38E">
            <w:pPr>
              <w:jc w:val="right"/>
              <w:rPr>
                <w:rFonts w:eastAsia="Arial" w:cs="Arial"/>
                <w:sz w:val="20"/>
                <w:highlight w:val="yellow"/>
              </w:rPr>
            </w:pPr>
            <w:r w:rsidRPr="00384792">
              <w:rPr>
                <w:rFonts w:eastAsia="Arial" w:cs="Arial"/>
                <w:sz w:val="20"/>
              </w:rPr>
              <w:t>18.840</w:t>
            </w:r>
          </w:p>
        </w:tc>
        <w:tc>
          <w:tcPr>
            <w:tcW w:w="1461" w:type="dxa"/>
            <w:vAlign w:val="bottom"/>
          </w:tcPr>
          <w:p w14:paraId="346BF75A" w14:textId="7D9224FC" w:rsidR="001F1DA3" w:rsidRPr="00384792" w:rsidRDefault="168613ED" w:rsidP="146AC38E">
            <w:pPr>
              <w:jc w:val="right"/>
              <w:rPr>
                <w:rFonts w:eastAsia="Arial" w:cs="Arial"/>
                <w:sz w:val="20"/>
                <w:highlight w:val="yellow"/>
              </w:rPr>
            </w:pPr>
            <w:r w:rsidRPr="00384792">
              <w:rPr>
                <w:rFonts w:eastAsia="Arial" w:cs="Arial"/>
                <w:sz w:val="20"/>
              </w:rPr>
              <w:t>8.825</w:t>
            </w:r>
          </w:p>
        </w:tc>
        <w:tc>
          <w:tcPr>
            <w:tcW w:w="1358" w:type="dxa"/>
            <w:vAlign w:val="bottom"/>
          </w:tcPr>
          <w:p w14:paraId="2CFD1522" w14:textId="5C1668CA" w:rsidR="001F1DA3" w:rsidRPr="00384792" w:rsidRDefault="168613ED" w:rsidP="146AC38E">
            <w:pPr>
              <w:jc w:val="right"/>
              <w:rPr>
                <w:rFonts w:eastAsia="Arial" w:cs="Arial"/>
                <w:sz w:val="20"/>
                <w:highlight w:val="yellow"/>
              </w:rPr>
            </w:pPr>
            <w:r w:rsidRPr="00384792">
              <w:rPr>
                <w:rFonts w:eastAsia="Arial" w:cs="Arial"/>
                <w:color w:val="000000" w:themeColor="text1"/>
                <w:sz w:val="20"/>
              </w:rPr>
              <w:t>4.73</w:t>
            </w:r>
          </w:p>
        </w:tc>
        <w:tc>
          <w:tcPr>
            <w:tcW w:w="1288" w:type="dxa"/>
            <w:vAlign w:val="bottom"/>
          </w:tcPr>
          <w:p w14:paraId="0420803D" w14:textId="62BEE4D3" w:rsidR="001F1DA3" w:rsidRPr="00384792" w:rsidRDefault="168613ED" w:rsidP="146AC38E">
            <w:pPr>
              <w:jc w:val="right"/>
              <w:rPr>
                <w:rFonts w:eastAsia="Arial" w:cs="Arial"/>
                <w:sz w:val="20"/>
                <w:highlight w:val="yellow"/>
              </w:rPr>
            </w:pPr>
            <w:r w:rsidRPr="00384792">
              <w:rPr>
                <w:rFonts w:eastAsia="Arial" w:cs="Arial"/>
                <w:color w:val="000000" w:themeColor="text1"/>
                <w:sz w:val="20"/>
              </w:rPr>
              <w:t>4.78</w:t>
            </w:r>
          </w:p>
        </w:tc>
      </w:tr>
      <w:tr w:rsidR="001F1DA3" w:rsidRPr="00384792" w14:paraId="10936AC3" w14:textId="77777777" w:rsidTr="146AC38E">
        <w:trPr>
          <w:trHeight w:val="221"/>
        </w:trPr>
        <w:tc>
          <w:tcPr>
            <w:tcW w:w="1545" w:type="dxa"/>
          </w:tcPr>
          <w:p w14:paraId="6B0BA502" w14:textId="77777777" w:rsidR="001F1DA3" w:rsidRPr="00384792" w:rsidRDefault="168613ED" w:rsidP="146AC38E">
            <w:pPr>
              <w:jc w:val="both"/>
              <w:rPr>
                <w:rFonts w:eastAsia="Arial" w:cs="Arial"/>
                <w:sz w:val="20"/>
              </w:rPr>
            </w:pPr>
            <w:r w:rsidRPr="00384792">
              <w:rPr>
                <w:rFonts w:eastAsia="Arial" w:cs="Arial"/>
                <w:sz w:val="20"/>
              </w:rPr>
              <w:t>February</w:t>
            </w:r>
          </w:p>
        </w:tc>
        <w:tc>
          <w:tcPr>
            <w:tcW w:w="1351" w:type="dxa"/>
            <w:vAlign w:val="bottom"/>
          </w:tcPr>
          <w:p w14:paraId="38C62042" w14:textId="6AA1DD71" w:rsidR="001F1DA3" w:rsidRPr="00384792" w:rsidRDefault="168613ED" w:rsidP="146AC38E">
            <w:pPr>
              <w:jc w:val="right"/>
              <w:rPr>
                <w:rFonts w:eastAsia="Arial" w:cs="Arial"/>
                <w:sz w:val="20"/>
                <w:highlight w:val="yellow"/>
              </w:rPr>
            </w:pPr>
            <w:r w:rsidRPr="00384792">
              <w:rPr>
                <w:rFonts w:eastAsia="Arial" w:cs="Arial"/>
                <w:sz w:val="20"/>
              </w:rPr>
              <w:t>3.835</w:t>
            </w:r>
          </w:p>
        </w:tc>
        <w:tc>
          <w:tcPr>
            <w:tcW w:w="1460" w:type="dxa"/>
            <w:vAlign w:val="bottom"/>
          </w:tcPr>
          <w:p w14:paraId="23D0586C" w14:textId="5EB928AB" w:rsidR="001F1DA3" w:rsidRPr="00384792" w:rsidRDefault="168613ED" w:rsidP="146AC38E">
            <w:pPr>
              <w:jc w:val="right"/>
              <w:rPr>
                <w:rFonts w:eastAsia="Arial" w:cs="Arial"/>
                <w:sz w:val="20"/>
                <w:highlight w:val="yellow"/>
              </w:rPr>
            </w:pPr>
            <w:r w:rsidRPr="00384792">
              <w:rPr>
                <w:rFonts w:eastAsia="Arial" w:cs="Arial"/>
                <w:sz w:val="20"/>
              </w:rPr>
              <w:t>15.000</w:t>
            </w:r>
          </w:p>
        </w:tc>
        <w:tc>
          <w:tcPr>
            <w:tcW w:w="1461" w:type="dxa"/>
            <w:vAlign w:val="bottom"/>
          </w:tcPr>
          <w:p w14:paraId="0ADCF5EA" w14:textId="005A0230" w:rsidR="001F1DA3" w:rsidRPr="00384792" w:rsidRDefault="168613ED" w:rsidP="146AC38E">
            <w:pPr>
              <w:jc w:val="right"/>
              <w:rPr>
                <w:rFonts w:eastAsia="Arial" w:cs="Arial"/>
                <w:sz w:val="20"/>
                <w:highlight w:val="yellow"/>
              </w:rPr>
            </w:pPr>
            <w:r w:rsidRPr="00384792">
              <w:rPr>
                <w:rFonts w:eastAsia="Arial" w:cs="Arial"/>
                <w:sz w:val="20"/>
              </w:rPr>
              <w:t>3.835</w:t>
            </w:r>
          </w:p>
        </w:tc>
        <w:tc>
          <w:tcPr>
            <w:tcW w:w="1358" w:type="dxa"/>
            <w:vAlign w:val="bottom"/>
          </w:tcPr>
          <w:p w14:paraId="59D2BAD8" w14:textId="505D4B84" w:rsidR="001F1DA3" w:rsidRPr="00384792" w:rsidRDefault="168613ED" w:rsidP="146AC38E">
            <w:pPr>
              <w:jc w:val="right"/>
              <w:rPr>
                <w:rFonts w:eastAsia="Arial" w:cs="Arial"/>
                <w:sz w:val="20"/>
                <w:highlight w:val="yellow"/>
              </w:rPr>
            </w:pPr>
            <w:r w:rsidRPr="00384792">
              <w:rPr>
                <w:rFonts w:eastAsia="Arial" w:cs="Arial"/>
                <w:color w:val="000000" w:themeColor="text1"/>
                <w:sz w:val="20"/>
              </w:rPr>
              <w:t>4.56</w:t>
            </w:r>
          </w:p>
        </w:tc>
        <w:tc>
          <w:tcPr>
            <w:tcW w:w="1288" w:type="dxa"/>
            <w:vAlign w:val="bottom"/>
          </w:tcPr>
          <w:p w14:paraId="0456CA16" w14:textId="2626F121" w:rsidR="001F1DA3" w:rsidRPr="00384792" w:rsidRDefault="168613ED" w:rsidP="146AC38E">
            <w:pPr>
              <w:jc w:val="right"/>
              <w:rPr>
                <w:rFonts w:eastAsia="Arial" w:cs="Arial"/>
                <w:sz w:val="20"/>
                <w:highlight w:val="yellow"/>
              </w:rPr>
            </w:pPr>
            <w:r w:rsidRPr="00384792">
              <w:rPr>
                <w:rFonts w:eastAsia="Arial" w:cs="Arial"/>
                <w:color w:val="000000" w:themeColor="text1"/>
                <w:sz w:val="20"/>
              </w:rPr>
              <w:t>4.74</w:t>
            </w:r>
          </w:p>
        </w:tc>
      </w:tr>
      <w:tr w:rsidR="001F1DA3" w:rsidRPr="00384792" w14:paraId="753724F6" w14:textId="77777777" w:rsidTr="146AC38E">
        <w:trPr>
          <w:trHeight w:val="206"/>
        </w:trPr>
        <w:tc>
          <w:tcPr>
            <w:tcW w:w="1545" w:type="dxa"/>
          </w:tcPr>
          <w:p w14:paraId="02737A3C" w14:textId="77777777" w:rsidR="001F1DA3" w:rsidRPr="00384792" w:rsidRDefault="168613ED" w:rsidP="146AC38E">
            <w:pPr>
              <w:jc w:val="both"/>
              <w:rPr>
                <w:rFonts w:eastAsia="Arial" w:cs="Arial"/>
                <w:sz w:val="20"/>
              </w:rPr>
            </w:pPr>
            <w:r w:rsidRPr="00384792">
              <w:rPr>
                <w:rFonts w:eastAsia="Arial" w:cs="Arial"/>
                <w:sz w:val="20"/>
              </w:rPr>
              <w:t>March</w:t>
            </w:r>
          </w:p>
        </w:tc>
        <w:tc>
          <w:tcPr>
            <w:tcW w:w="1351" w:type="dxa"/>
            <w:vAlign w:val="bottom"/>
          </w:tcPr>
          <w:p w14:paraId="2324F689" w14:textId="1812ABA7" w:rsidR="001F1DA3" w:rsidRPr="00384792" w:rsidRDefault="168613ED" w:rsidP="146AC38E">
            <w:pPr>
              <w:jc w:val="right"/>
              <w:rPr>
                <w:rFonts w:eastAsia="Arial" w:cs="Arial"/>
                <w:sz w:val="20"/>
                <w:highlight w:val="yellow"/>
              </w:rPr>
            </w:pPr>
            <w:r w:rsidRPr="00384792">
              <w:rPr>
                <w:rFonts w:eastAsia="Arial" w:cs="Arial"/>
                <w:sz w:val="20"/>
              </w:rPr>
              <w:t>3.585</w:t>
            </w:r>
          </w:p>
        </w:tc>
        <w:tc>
          <w:tcPr>
            <w:tcW w:w="1460" w:type="dxa"/>
            <w:vAlign w:val="bottom"/>
          </w:tcPr>
          <w:p w14:paraId="5C12BC16" w14:textId="1F4FF2B3" w:rsidR="001F1DA3" w:rsidRPr="00384792" w:rsidRDefault="168613ED" w:rsidP="146AC38E">
            <w:pPr>
              <w:jc w:val="right"/>
              <w:rPr>
                <w:rFonts w:eastAsia="Arial" w:cs="Arial"/>
                <w:sz w:val="20"/>
                <w:highlight w:val="yellow"/>
              </w:rPr>
            </w:pPr>
            <w:r w:rsidRPr="00384792">
              <w:rPr>
                <w:rFonts w:eastAsia="Arial" w:cs="Arial"/>
                <w:sz w:val="20"/>
              </w:rPr>
              <w:t>18.025</w:t>
            </w:r>
          </w:p>
        </w:tc>
        <w:tc>
          <w:tcPr>
            <w:tcW w:w="1461" w:type="dxa"/>
            <w:vAlign w:val="bottom"/>
          </w:tcPr>
          <w:p w14:paraId="55C6926D" w14:textId="591E7461" w:rsidR="001F1DA3" w:rsidRPr="00384792" w:rsidRDefault="168613ED" w:rsidP="146AC38E">
            <w:pPr>
              <w:jc w:val="right"/>
              <w:rPr>
                <w:rFonts w:eastAsia="Arial" w:cs="Arial"/>
                <w:sz w:val="20"/>
                <w:highlight w:val="yellow"/>
              </w:rPr>
            </w:pPr>
            <w:r w:rsidRPr="00384792">
              <w:rPr>
                <w:rFonts w:eastAsia="Arial" w:cs="Arial"/>
                <w:sz w:val="20"/>
              </w:rPr>
              <w:t>6.125</w:t>
            </w:r>
          </w:p>
        </w:tc>
        <w:tc>
          <w:tcPr>
            <w:tcW w:w="1358" w:type="dxa"/>
            <w:vAlign w:val="bottom"/>
          </w:tcPr>
          <w:p w14:paraId="3DEC31CB" w14:textId="3EFD413A" w:rsidR="001F1DA3" w:rsidRPr="00384792" w:rsidRDefault="168613ED" w:rsidP="146AC38E">
            <w:pPr>
              <w:jc w:val="right"/>
              <w:rPr>
                <w:rFonts w:eastAsia="Arial" w:cs="Arial"/>
                <w:sz w:val="20"/>
                <w:highlight w:val="yellow"/>
              </w:rPr>
            </w:pPr>
            <w:r w:rsidRPr="00384792">
              <w:rPr>
                <w:rFonts w:eastAsia="Arial" w:cs="Arial"/>
                <w:color w:val="000000" w:themeColor="text1"/>
                <w:sz w:val="20"/>
              </w:rPr>
              <w:t>4.52</w:t>
            </w:r>
          </w:p>
        </w:tc>
        <w:tc>
          <w:tcPr>
            <w:tcW w:w="1288" w:type="dxa"/>
            <w:vAlign w:val="bottom"/>
          </w:tcPr>
          <w:p w14:paraId="293F1C8D" w14:textId="14BC176E" w:rsidR="001F1DA3" w:rsidRPr="00384792" w:rsidRDefault="168613ED" w:rsidP="146AC38E">
            <w:pPr>
              <w:jc w:val="right"/>
              <w:rPr>
                <w:rFonts w:eastAsia="Arial" w:cs="Arial"/>
                <w:sz w:val="20"/>
                <w:highlight w:val="yellow"/>
              </w:rPr>
            </w:pPr>
            <w:r w:rsidRPr="00384792">
              <w:rPr>
                <w:rFonts w:eastAsia="Arial" w:cs="Arial"/>
                <w:color w:val="000000" w:themeColor="text1"/>
                <w:sz w:val="20"/>
              </w:rPr>
              <w:t>4.59</w:t>
            </w:r>
          </w:p>
        </w:tc>
      </w:tr>
      <w:bookmarkEnd w:id="0"/>
    </w:tbl>
    <w:p w14:paraId="5F91E61B" w14:textId="77777777" w:rsidR="00E25096" w:rsidRPr="00384792" w:rsidRDefault="00E25096" w:rsidP="00E25096">
      <w:pPr>
        <w:rPr>
          <w:rFonts w:cs="Arial"/>
          <w:sz w:val="20"/>
          <w:highlight w:val="cyan"/>
        </w:rPr>
      </w:pPr>
    </w:p>
    <w:p w14:paraId="7B3573A5" w14:textId="3A54A4C7" w:rsidR="00D15B7E" w:rsidRPr="00384792" w:rsidRDefault="0091487A" w:rsidP="146AC38E">
      <w:pPr>
        <w:ind w:left="720"/>
        <w:jc w:val="both"/>
        <w:rPr>
          <w:rFonts w:cs="Arial"/>
          <w:sz w:val="20"/>
        </w:rPr>
      </w:pPr>
      <w:r w:rsidRPr="00384792">
        <w:rPr>
          <w:rFonts w:cs="Arial"/>
          <w:sz w:val="20"/>
        </w:rPr>
        <w:t>The lending activity</w:t>
      </w:r>
      <w:r w:rsidR="0084768B" w:rsidRPr="00384792">
        <w:rPr>
          <w:rFonts w:cs="Arial"/>
          <w:sz w:val="20"/>
        </w:rPr>
        <w:t xml:space="preserve"> </w:t>
      </w:r>
      <w:r w:rsidRPr="00384792">
        <w:rPr>
          <w:rFonts w:cs="Arial"/>
          <w:sz w:val="20"/>
        </w:rPr>
        <w:t xml:space="preserve">shown above related solely to short-term positions.  </w:t>
      </w:r>
      <w:r w:rsidR="004A1C42" w:rsidRPr="00384792">
        <w:rPr>
          <w:rFonts w:cs="Arial"/>
          <w:sz w:val="20"/>
        </w:rPr>
        <w:t>All</w:t>
      </w:r>
      <w:r w:rsidRPr="00384792">
        <w:rPr>
          <w:rFonts w:cs="Arial"/>
          <w:sz w:val="20"/>
        </w:rPr>
        <w:t xml:space="preserve"> these </w:t>
      </w:r>
      <w:r w:rsidR="0084768B" w:rsidRPr="00384792">
        <w:rPr>
          <w:rFonts w:cs="Arial"/>
          <w:sz w:val="20"/>
        </w:rPr>
        <w:t>loans</w:t>
      </w:r>
      <w:r w:rsidRPr="00384792">
        <w:rPr>
          <w:rFonts w:cs="Arial"/>
          <w:sz w:val="20"/>
        </w:rPr>
        <w:t xml:space="preserve"> </w:t>
      </w:r>
      <w:r w:rsidR="00A457CA" w:rsidRPr="00384792">
        <w:rPr>
          <w:rFonts w:cs="Arial"/>
          <w:sz w:val="20"/>
        </w:rPr>
        <w:t>complied</w:t>
      </w:r>
      <w:r w:rsidRPr="00384792">
        <w:rPr>
          <w:rFonts w:cs="Arial"/>
          <w:sz w:val="20"/>
        </w:rPr>
        <w:t xml:space="preserve"> with the Treasury Strategy Statement provisions on such lending with regards to amounts and institutions involved.</w:t>
      </w:r>
    </w:p>
    <w:p w14:paraId="4CA278FA" w14:textId="77777777" w:rsidR="006D121C" w:rsidRPr="00384792" w:rsidRDefault="006D121C" w:rsidP="006D121C">
      <w:pPr>
        <w:ind w:left="720" w:hanging="720"/>
        <w:jc w:val="both"/>
        <w:rPr>
          <w:rFonts w:cs="Arial"/>
          <w:sz w:val="20"/>
        </w:rPr>
      </w:pPr>
    </w:p>
    <w:p w14:paraId="1007E85D" w14:textId="77777777" w:rsidR="00F156F9" w:rsidRPr="00384792" w:rsidRDefault="00B206D0" w:rsidP="00D567D0">
      <w:pPr>
        <w:rPr>
          <w:rFonts w:cs="Arial"/>
          <w:b/>
          <w:sz w:val="20"/>
        </w:rPr>
      </w:pPr>
      <w:r w:rsidRPr="00384792">
        <w:rPr>
          <w:rFonts w:cs="Arial"/>
          <w:b/>
          <w:sz w:val="20"/>
        </w:rPr>
        <w:t>7</w:t>
      </w:r>
      <w:r w:rsidR="00F156F9" w:rsidRPr="00384792">
        <w:rPr>
          <w:rFonts w:cs="Arial"/>
          <w:sz w:val="20"/>
        </w:rPr>
        <w:tab/>
      </w:r>
      <w:r w:rsidR="00F156F9" w:rsidRPr="00384792">
        <w:rPr>
          <w:rFonts w:cs="Arial"/>
          <w:b/>
          <w:sz w:val="20"/>
        </w:rPr>
        <w:t>POLICY IMPLICATIONS</w:t>
      </w:r>
    </w:p>
    <w:p w14:paraId="1A69ED96" w14:textId="77777777" w:rsidR="00F156F9" w:rsidRPr="00384792" w:rsidRDefault="00F156F9" w:rsidP="00A21966">
      <w:pPr>
        <w:ind w:left="720" w:hanging="720"/>
        <w:rPr>
          <w:rFonts w:cs="Arial"/>
          <w:b/>
          <w:sz w:val="20"/>
        </w:rPr>
      </w:pPr>
    </w:p>
    <w:p w14:paraId="6CCC5700" w14:textId="77777777" w:rsidR="00F156F9" w:rsidRPr="00384792" w:rsidRDefault="00632047" w:rsidP="146AC38E">
      <w:pPr>
        <w:ind w:left="720"/>
        <w:jc w:val="both"/>
        <w:rPr>
          <w:rFonts w:cs="Arial"/>
          <w:sz w:val="20"/>
        </w:rPr>
      </w:pPr>
      <w:r w:rsidRPr="00384792">
        <w:rPr>
          <w:rFonts w:cs="Arial"/>
          <w:sz w:val="20"/>
        </w:rPr>
        <w:t>This report has been subject to the Pre-IIA Screening Tool and does not make any recommendations for change to strategy, policy, procedures, services or funding and so has not been subject to an Integrated Impact Assessment. An appropriate senior manager has reviewed and agreed with this assessmen</w:t>
      </w:r>
      <w:r w:rsidR="00225857" w:rsidRPr="00384792">
        <w:rPr>
          <w:rFonts w:cs="Arial"/>
          <w:sz w:val="20"/>
        </w:rPr>
        <w:t>t</w:t>
      </w:r>
      <w:r w:rsidRPr="00384792">
        <w:rPr>
          <w:rFonts w:cs="Arial"/>
          <w:sz w:val="20"/>
        </w:rPr>
        <w:t>.</w:t>
      </w:r>
    </w:p>
    <w:p w14:paraId="76328E16" w14:textId="77777777" w:rsidR="00632047" w:rsidRPr="00384792" w:rsidRDefault="00632047" w:rsidP="00632047">
      <w:pPr>
        <w:ind w:left="720" w:hanging="720"/>
        <w:jc w:val="both"/>
        <w:rPr>
          <w:rFonts w:cs="Arial"/>
          <w:sz w:val="20"/>
        </w:rPr>
      </w:pPr>
    </w:p>
    <w:p w14:paraId="0C81E233" w14:textId="77777777" w:rsidR="00F156F9" w:rsidRPr="00384792" w:rsidRDefault="00B206D0" w:rsidP="00AD4BB1">
      <w:pPr>
        <w:rPr>
          <w:rFonts w:cs="Arial"/>
          <w:b/>
          <w:sz w:val="20"/>
        </w:rPr>
      </w:pPr>
      <w:r w:rsidRPr="00384792">
        <w:rPr>
          <w:rFonts w:cs="Arial"/>
          <w:b/>
          <w:sz w:val="20"/>
        </w:rPr>
        <w:t>8</w:t>
      </w:r>
      <w:r w:rsidR="00F156F9" w:rsidRPr="00384792">
        <w:rPr>
          <w:rFonts w:cs="Arial"/>
          <w:sz w:val="20"/>
        </w:rPr>
        <w:tab/>
      </w:r>
      <w:r w:rsidR="00F156F9" w:rsidRPr="00384792">
        <w:rPr>
          <w:rFonts w:cs="Arial"/>
          <w:b/>
          <w:sz w:val="20"/>
        </w:rPr>
        <w:t>CONSULTATION</w:t>
      </w:r>
    </w:p>
    <w:p w14:paraId="6DCF69E9" w14:textId="77777777" w:rsidR="00F156F9" w:rsidRPr="00384792" w:rsidRDefault="00F156F9" w:rsidP="00A21966">
      <w:pPr>
        <w:ind w:left="720" w:hanging="720"/>
        <w:rPr>
          <w:rFonts w:cs="Arial"/>
          <w:sz w:val="20"/>
        </w:rPr>
      </w:pPr>
    </w:p>
    <w:p w14:paraId="491EF001" w14:textId="77777777" w:rsidR="00AC648F" w:rsidRPr="00384792" w:rsidRDefault="00DD0275" w:rsidP="146AC38E">
      <w:pPr>
        <w:ind w:left="720"/>
        <w:jc w:val="both"/>
        <w:rPr>
          <w:rFonts w:cs="Arial"/>
          <w:sz w:val="20"/>
        </w:rPr>
      </w:pPr>
      <w:r w:rsidRPr="00384792">
        <w:rPr>
          <w:rFonts w:cs="Arial"/>
          <w:sz w:val="20"/>
        </w:rPr>
        <w:t>The Chief Executive and Head of Democratic and Legal Services have been consulted in the preparation of this report.</w:t>
      </w:r>
    </w:p>
    <w:p w14:paraId="42EA209E" w14:textId="77777777" w:rsidR="00F156F9" w:rsidRPr="00384792" w:rsidRDefault="00F156F9" w:rsidP="00BE66F5">
      <w:pPr>
        <w:rPr>
          <w:rFonts w:cs="Arial"/>
          <w:sz w:val="20"/>
        </w:rPr>
      </w:pPr>
    </w:p>
    <w:p w14:paraId="2AF22777" w14:textId="77777777" w:rsidR="00F156F9" w:rsidRPr="00384792" w:rsidRDefault="00B206D0" w:rsidP="00A21966">
      <w:pPr>
        <w:ind w:left="720" w:hanging="720"/>
        <w:rPr>
          <w:rFonts w:cs="Arial"/>
          <w:b/>
          <w:sz w:val="20"/>
        </w:rPr>
      </w:pPr>
      <w:r w:rsidRPr="00384792">
        <w:rPr>
          <w:rFonts w:cs="Arial"/>
          <w:b/>
          <w:sz w:val="20"/>
        </w:rPr>
        <w:t>9</w:t>
      </w:r>
      <w:r w:rsidR="00F156F9" w:rsidRPr="00384792">
        <w:rPr>
          <w:rFonts w:cs="Arial"/>
          <w:sz w:val="20"/>
        </w:rPr>
        <w:tab/>
      </w:r>
      <w:r w:rsidR="00F156F9" w:rsidRPr="00384792">
        <w:rPr>
          <w:rFonts w:cs="Arial"/>
          <w:b/>
          <w:sz w:val="20"/>
        </w:rPr>
        <w:t>BACKGROUND PAPERS</w:t>
      </w:r>
    </w:p>
    <w:p w14:paraId="26E0C072" w14:textId="77777777" w:rsidR="00A21966" w:rsidRPr="00384792" w:rsidRDefault="00A21966" w:rsidP="00A21966">
      <w:pPr>
        <w:ind w:left="720" w:hanging="720"/>
        <w:rPr>
          <w:rFonts w:cs="Arial"/>
          <w:sz w:val="20"/>
        </w:rPr>
      </w:pPr>
    </w:p>
    <w:p w14:paraId="1743A271" w14:textId="77777777" w:rsidR="00E80081" w:rsidRPr="00384792" w:rsidRDefault="00061AE5" w:rsidP="00414EEE">
      <w:pPr>
        <w:ind w:firstLine="720"/>
        <w:jc w:val="both"/>
        <w:rPr>
          <w:rFonts w:cs="Arial"/>
          <w:b/>
          <w:sz w:val="20"/>
        </w:rPr>
      </w:pPr>
      <w:r w:rsidRPr="00384792">
        <w:rPr>
          <w:rFonts w:cs="Arial"/>
          <w:bCs/>
          <w:sz w:val="20"/>
        </w:rPr>
        <w:t>None</w:t>
      </w:r>
    </w:p>
    <w:p w14:paraId="18BB9867" w14:textId="77777777" w:rsidR="00F156F9" w:rsidRPr="00384792" w:rsidRDefault="00F156F9">
      <w:pPr>
        <w:ind w:left="720" w:hanging="720"/>
        <w:jc w:val="both"/>
        <w:rPr>
          <w:rFonts w:cs="Arial"/>
          <w:b/>
          <w:sz w:val="20"/>
        </w:rPr>
      </w:pPr>
    </w:p>
    <w:p w14:paraId="6FD2689A" w14:textId="729A2526" w:rsidR="00087DB0" w:rsidRPr="00384792" w:rsidRDefault="00F74DF1">
      <w:pPr>
        <w:rPr>
          <w:rFonts w:cs="Arial"/>
          <w:caps/>
          <w:sz w:val="20"/>
        </w:rPr>
      </w:pPr>
      <w:r w:rsidRPr="00384792">
        <w:rPr>
          <w:rFonts w:cs="Arial"/>
          <w:b/>
          <w:caps/>
          <w:sz w:val="20"/>
        </w:rPr>
        <w:lastRenderedPageBreak/>
        <w:t>PAUL THOMSON</w:t>
      </w:r>
    </w:p>
    <w:p w14:paraId="7603DD32" w14:textId="3F11936C" w:rsidR="00676102" w:rsidRPr="00384792" w:rsidRDefault="00850DCA" w:rsidP="146AC38E">
      <w:pPr>
        <w:rPr>
          <w:rFonts w:cs="Arial"/>
          <w:b/>
          <w:bCs/>
          <w:caps/>
          <w:sz w:val="20"/>
        </w:rPr>
      </w:pPr>
      <w:r w:rsidRPr="00384792">
        <w:rPr>
          <w:rFonts w:cs="Arial"/>
          <w:b/>
          <w:bCs/>
          <w:caps/>
          <w:sz w:val="20"/>
        </w:rPr>
        <w:t xml:space="preserve">EXECUTIVE </w:t>
      </w:r>
      <w:r w:rsidR="00087DB0" w:rsidRPr="00384792">
        <w:rPr>
          <w:rFonts w:cs="Arial"/>
          <w:b/>
          <w:bCs/>
          <w:caps/>
          <w:sz w:val="20"/>
        </w:rPr>
        <w:t>director</w:t>
      </w:r>
      <w:r w:rsidR="00AC648F" w:rsidRPr="00384792">
        <w:rPr>
          <w:rFonts w:cs="Arial"/>
          <w:b/>
          <w:bCs/>
          <w:sz w:val="20"/>
        </w:rPr>
        <w:t xml:space="preserve"> OF CORPORATE SERVICES</w:t>
      </w:r>
      <w:r w:rsidRPr="00384792">
        <w:rPr>
          <w:rFonts w:cs="Arial"/>
          <w:sz w:val="20"/>
        </w:rPr>
        <w:tab/>
      </w:r>
      <w:r w:rsidRPr="00384792">
        <w:rPr>
          <w:rFonts w:cs="Arial"/>
          <w:sz w:val="20"/>
        </w:rPr>
        <w:tab/>
      </w:r>
      <w:r w:rsidRPr="00384792">
        <w:rPr>
          <w:rFonts w:cs="Arial"/>
          <w:sz w:val="20"/>
        </w:rPr>
        <w:tab/>
      </w:r>
      <w:r w:rsidRPr="00384792">
        <w:rPr>
          <w:rFonts w:cs="Arial"/>
          <w:b/>
          <w:bCs/>
          <w:caps/>
          <w:sz w:val="20"/>
        </w:rPr>
        <w:fldChar w:fldCharType="begin"/>
      </w:r>
      <w:r w:rsidRPr="00384792">
        <w:rPr>
          <w:rFonts w:cs="Arial"/>
          <w:b/>
          <w:bCs/>
          <w:caps/>
          <w:sz w:val="20"/>
        </w:rPr>
        <w:instrText xml:space="preserve"> DATE  \@ "d MMMM yyyy"  \* MERGEFORMAT </w:instrText>
      </w:r>
      <w:r w:rsidRPr="00384792">
        <w:rPr>
          <w:rFonts w:cs="Arial"/>
          <w:b/>
          <w:bCs/>
          <w:caps/>
          <w:sz w:val="20"/>
        </w:rPr>
        <w:fldChar w:fldCharType="separate"/>
      </w:r>
      <w:r w:rsidR="008811BE">
        <w:rPr>
          <w:rFonts w:cs="Arial"/>
          <w:b/>
          <w:bCs/>
          <w:caps/>
          <w:noProof/>
          <w:sz w:val="20"/>
        </w:rPr>
        <w:t>23 September 2025</w:t>
      </w:r>
      <w:r w:rsidRPr="00384792">
        <w:rPr>
          <w:rFonts w:cs="Arial"/>
          <w:b/>
          <w:bCs/>
          <w:caps/>
          <w:sz w:val="20"/>
        </w:rPr>
        <w:fldChar w:fldCharType="end"/>
      </w:r>
    </w:p>
    <w:sectPr w:rsidR="00676102" w:rsidRPr="00384792" w:rsidSect="008C35B8">
      <w:headerReference w:type="default" r:id="rId12"/>
      <w:footerReference w:type="default" r:id="rId13"/>
      <w:footerReference w:type="first" r:id="rId14"/>
      <w:footnotePr>
        <w:numRestart w:val="eachPage"/>
      </w:footnotePr>
      <w:type w:val="oddPage"/>
      <w:pgSz w:w="11907" w:h="16840" w:code="9"/>
      <w:pgMar w:top="1440" w:right="1440" w:bottom="1440" w:left="1440" w:header="706" w:footer="706" w:gutter="0"/>
      <w:paperSrc w:first="257" w:other="25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550E4" w14:textId="77777777" w:rsidR="008C42F3" w:rsidRDefault="008C42F3">
      <w:r>
        <w:separator/>
      </w:r>
    </w:p>
  </w:endnote>
  <w:endnote w:type="continuationSeparator" w:id="0">
    <w:p w14:paraId="0BF708CB" w14:textId="77777777" w:rsidR="008C42F3" w:rsidRDefault="008C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51069" w14:textId="77777777" w:rsidR="0039388D" w:rsidRDefault="0039388D" w:rsidP="0039388D">
    <w:pPr>
      <w:pStyle w:val="Header"/>
    </w:pPr>
  </w:p>
  <w:p w14:paraId="397373EC" w14:textId="77777777" w:rsidR="0039388D" w:rsidRDefault="0039388D" w:rsidP="0039388D"/>
  <w:p w14:paraId="1D32EE2B" w14:textId="236A3C1D" w:rsidR="0039388D" w:rsidRPr="00F0491E" w:rsidRDefault="00185E64" w:rsidP="0039388D">
    <w:pPr>
      <w:pStyle w:val="Footer"/>
      <w:rPr>
        <w:sz w:val="16"/>
        <w:szCs w:val="16"/>
      </w:rPr>
    </w:pPr>
    <w:r>
      <w:rPr>
        <w:sz w:val="16"/>
        <w:szCs w:val="16"/>
      </w:rPr>
      <w:t>262</w:t>
    </w:r>
    <w:r w:rsidR="0039388D">
      <w:rPr>
        <w:sz w:val="16"/>
        <w:szCs w:val="16"/>
      </w:rPr>
      <w:t>-20</w:t>
    </w:r>
    <w:r w:rsidR="006D33F1">
      <w:rPr>
        <w:sz w:val="16"/>
        <w:szCs w:val="16"/>
      </w:rPr>
      <w:t>2</w:t>
    </w:r>
    <w:r w:rsidR="002837AE">
      <w:rPr>
        <w:sz w:val="16"/>
        <w:szCs w:val="16"/>
      </w:rPr>
      <w:t>5</w:t>
    </w:r>
    <w:r w:rsidR="0039388D">
      <w:rPr>
        <w:sz w:val="16"/>
        <w:szCs w:val="16"/>
      </w:rPr>
      <w:t>-ATMA-</w:t>
    </w:r>
    <w:r w:rsidR="00BE2376">
      <w:rPr>
        <w:sz w:val="16"/>
        <w:szCs w:val="16"/>
      </w:rPr>
      <w:t>2</w:t>
    </w:r>
    <w:r w:rsidR="002837AE">
      <w:rPr>
        <w:sz w:val="16"/>
        <w:szCs w:val="16"/>
      </w:rPr>
      <w:t>2</w:t>
    </w:r>
    <w:r w:rsidR="006A719E">
      <w:rPr>
        <w:sz w:val="16"/>
        <w:szCs w:val="16"/>
      </w:rPr>
      <w:t>09</w:t>
    </w:r>
    <w:r w:rsidR="006D33F1">
      <w:rPr>
        <w:sz w:val="16"/>
        <w:szCs w:val="16"/>
      </w:rPr>
      <w:t>2</w:t>
    </w:r>
    <w:r w:rsidR="002837AE">
      <w:rPr>
        <w:sz w:val="16"/>
        <w:szCs w:val="16"/>
      </w:rPr>
      <w:t>5</w:t>
    </w:r>
  </w:p>
  <w:p w14:paraId="45E79B66" w14:textId="77777777" w:rsidR="0039388D" w:rsidRDefault="00393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F7011" w14:textId="4E8821AB" w:rsidR="00E737E7" w:rsidRPr="00F0491E" w:rsidRDefault="00185E64">
    <w:pPr>
      <w:pStyle w:val="Footer"/>
      <w:rPr>
        <w:sz w:val="16"/>
        <w:szCs w:val="16"/>
      </w:rPr>
    </w:pPr>
    <w:r>
      <w:rPr>
        <w:sz w:val="16"/>
        <w:szCs w:val="16"/>
      </w:rPr>
      <w:t>262</w:t>
    </w:r>
    <w:r w:rsidR="0071054A">
      <w:rPr>
        <w:sz w:val="16"/>
        <w:szCs w:val="16"/>
      </w:rPr>
      <w:t>-</w:t>
    </w:r>
    <w:r w:rsidR="008733AF">
      <w:rPr>
        <w:sz w:val="16"/>
        <w:szCs w:val="16"/>
      </w:rPr>
      <w:t>20</w:t>
    </w:r>
    <w:r w:rsidR="00520F86">
      <w:rPr>
        <w:sz w:val="16"/>
        <w:szCs w:val="16"/>
      </w:rPr>
      <w:t>2</w:t>
    </w:r>
    <w:r w:rsidR="002837AE">
      <w:rPr>
        <w:sz w:val="16"/>
        <w:szCs w:val="16"/>
      </w:rPr>
      <w:t>5</w:t>
    </w:r>
    <w:r w:rsidR="00F0491E">
      <w:rPr>
        <w:sz w:val="16"/>
        <w:szCs w:val="16"/>
      </w:rPr>
      <w:t>-ATMA-</w:t>
    </w:r>
    <w:r w:rsidR="00BE2376">
      <w:rPr>
        <w:sz w:val="16"/>
        <w:szCs w:val="16"/>
      </w:rPr>
      <w:t>2</w:t>
    </w:r>
    <w:r w:rsidR="002837AE">
      <w:rPr>
        <w:sz w:val="16"/>
        <w:szCs w:val="16"/>
      </w:rPr>
      <w:t>2</w:t>
    </w:r>
    <w:r w:rsidR="00BE2376">
      <w:rPr>
        <w:sz w:val="16"/>
        <w:szCs w:val="16"/>
      </w:rPr>
      <w:t>092</w:t>
    </w:r>
    <w:r w:rsidR="002837AE">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3E067" w14:textId="77777777" w:rsidR="008C42F3" w:rsidRDefault="008C42F3">
      <w:r>
        <w:separator/>
      </w:r>
    </w:p>
  </w:footnote>
  <w:footnote w:type="continuationSeparator" w:id="0">
    <w:p w14:paraId="27C34935" w14:textId="77777777" w:rsidR="008C42F3" w:rsidRDefault="008C4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D912A" w14:textId="77777777" w:rsidR="00CE62C7" w:rsidRPr="00CE62C7" w:rsidRDefault="00CE62C7">
    <w:pPr>
      <w:pStyle w:val="Header"/>
      <w:jc w:val="center"/>
      <w:rPr>
        <w:rStyle w:val="PageNumber"/>
        <w:sz w:val="20"/>
      </w:rPr>
    </w:pPr>
    <w:r w:rsidRPr="00CE62C7">
      <w:rPr>
        <w:rStyle w:val="PageNumber"/>
        <w:sz w:val="20"/>
      </w:rPr>
      <w:fldChar w:fldCharType="begin"/>
    </w:r>
    <w:r w:rsidRPr="00CE62C7">
      <w:rPr>
        <w:rStyle w:val="PageNumber"/>
        <w:sz w:val="20"/>
      </w:rPr>
      <w:instrText xml:space="preserve"> PAGE </w:instrText>
    </w:r>
    <w:r w:rsidRPr="00CE62C7">
      <w:rPr>
        <w:rStyle w:val="PageNumber"/>
        <w:sz w:val="20"/>
      </w:rPr>
      <w:fldChar w:fldCharType="separate"/>
    </w:r>
    <w:r w:rsidR="00952567">
      <w:rPr>
        <w:rStyle w:val="PageNumber"/>
        <w:noProof/>
        <w:sz w:val="20"/>
      </w:rPr>
      <w:t>2</w:t>
    </w:r>
    <w:r w:rsidRPr="00CE62C7">
      <w:rPr>
        <w:rStyle w:val="PageNumber"/>
        <w:sz w:val="20"/>
      </w:rPr>
      <w:fldChar w:fldCharType="end"/>
    </w:r>
  </w:p>
  <w:p w14:paraId="6956F084" w14:textId="77777777" w:rsidR="00CE62C7" w:rsidRPr="00CE62C7" w:rsidRDefault="00CE62C7">
    <w:pPr>
      <w:pStyle w:val="Header"/>
      <w:jc w:val="center"/>
      <w:rPr>
        <w:rStyle w:val="PageNumber"/>
        <w:sz w:val="20"/>
      </w:rPr>
    </w:pPr>
  </w:p>
  <w:p w14:paraId="4755E63F" w14:textId="77777777" w:rsidR="00CE62C7" w:rsidRPr="00CE62C7" w:rsidRDefault="00CE62C7">
    <w:pPr>
      <w:pStyle w:val="Header"/>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20D34"/>
    <w:multiLevelType w:val="hybridMultilevel"/>
    <w:tmpl w:val="8BA0FE9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FE86198"/>
    <w:multiLevelType w:val="singleLevel"/>
    <w:tmpl w:val="AE1A8C30"/>
    <w:lvl w:ilvl="0">
      <w:start w:val="7"/>
      <w:numFmt w:val="decimal"/>
      <w:lvlText w:val="%1"/>
      <w:lvlJc w:val="left"/>
      <w:pPr>
        <w:tabs>
          <w:tab w:val="num" w:pos="720"/>
        </w:tabs>
        <w:ind w:left="720" w:hanging="720"/>
      </w:pPr>
      <w:rPr>
        <w:rFonts w:hint="default"/>
      </w:rPr>
    </w:lvl>
  </w:abstractNum>
  <w:abstractNum w:abstractNumId="2" w15:restartNumberingAfterBreak="0">
    <w:nsid w:val="1982560C"/>
    <w:multiLevelType w:val="multilevel"/>
    <w:tmpl w:val="A6F479A6"/>
    <w:lvl w:ilvl="0">
      <w:start w:val="7"/>
      <w:numFmt w:val="decimal"/>
      <w:lvlText w:val="%1"/>
      <w:lvlJc w:val="left"/>
      <w:pPr>
        <w:tabs>
          <w:tab w:val="num" w:pos="360"/>
        </w:tabs>
        <w:ind w:left="360" w:hanging="360"/>
      </w:pPr>
      <w:rPr>
        <w:rFonts w:hint="default"/>
        <w:b w:val="0"/>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A0329A1"/>
    <w:multiLevelType w:val="multilevel"/>
    <w:tmpl w:val="8A3EFC6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D102CE1"/>
    <w:multiLevelType w:val="hybridMultilevel"/>
    <w:tmpl w:val="D1DC6D06"/>
    <w:lvl w:ilvl="0" w:tplc="217CEF08">
      <w:start w:val="8"/>
      <w:numFmt w:val="decimal"/>
      <w:lvlText w:val="%1"/>
      <w:lvlJc w:val="left"/>
      <w:pPr>
        <w:tabs>
          <w:tab w:val="num" w:pos="360"/>
        </w:tabs>
        <w:ind w:left="360" w:hanging="360"/>
      </w:pPr>
      <w:rPr>
        <w:rFonts w:hint="default"/>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1DFD1EEA"/>
    <w:multiLevelType w:val="multilevel"/>
    <w:tmpl w:val="71AE9D2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477787E"/>
    <w:multiLevelType w:val="singleLevel"/>
    <w:tmpl w:val="77044F46"/>
    <w:lvl w:ilvl="0">
      <w:start w:val="10"/>
      <w:numFmt w:val="decimal"/>
      <w:lvlText w:val="%1"/>
      <w:lvlJc w:val="left"/>
      <w:pPr>
        <w:tabs>
          <w:tab w:val="num" w:pos="360"/>
        </w:tabs>
        <w:ind w:left="360" w:hanging="360"/>
      </w:pPr>
      <w:rPr>
        <w:rFonts w:hint="default"/>
        <w:b w:val="0"/>
      </w:rPr>
    </w:lvl>
  </w:abstractNum>
  <w:abstractNum w:abstractNumId="7" w15:restartNumberingAfterBreak="0">
    <w:nsid w:val="46EF0E12"/>
    <w:multiLevelType w:val="hybridMultilevel"/>
    <w:tmpl w:val="D0D2B3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4FCD2739"/>
    <w:multiLevelType w:val="singleLevel"/>
    <w:tmpl w:val="C532923C"/>
    <w:lvl w:ilvl="0">
      <w:start w:val="3"/>
      <w:numFmt w:val="decimal"/>
      <w:lvlText w:val="%1"/>
      <w:lvlJc w:val="left"/>
      <w:pPr>
        <w:tabs>
          <w:tab w:val="num" w:pos="360"/>
        </w:tabs>
        <w:ind w:left="360" w:hanging="360"/>
      </w:pPr>
      <w:rPr>
        <w:rFonts w:hint="default"/>
        <w:b w:val="0"/>
        <w:u w:val="none"/>
      </w:rPr>
    </w:lvl>
  </w:abstractNum>
  <w:abstractNum w:abstractNumId="9" w15:restartNumberingAfterBreak="0">
    <w:nsid w:val="5FCB39EC"/>
    <w:multiLevelType w:val="singleLevel"/>
    <w:tmpl w:val="A49A2784"/>
    <w:lvl w:ilvl="0">
      <w:start w:val="12"/>
      <w:numFmt w:val="decimal"/>
      <w:lvlText w:val="%1"/>
      <w:lvlJc w:val="left"/>
      <w:pPr>
        <w:tabs>
          <w:tab w:val="num" w:pos="360"/>
        </w:tabs>
        <w:ind w:left="360" w:hanging="360"/>
      </w:pPr>
      <w:rPr>
        <w:rFonts w:hint="default"/>
        <w:b w:val="0"/>
      </w:rPr>
    </w:lvl>
  </w:abstractNum>
  <w:abstractNum w:abstractNumId="10" w15:restartNumberingAfterBreak="0">
    <w:nsid w:val="6366028B"/>
    <w:multiLevelType w:val="multilevel"/>
    <w:tmpl w:val="546070A0"/>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4ED01B5"/>
    <w:multiLevelType w:val="hybridMultilevel"/>
    <w:tmpl w:val="56649AB2"/>
    <w:lvl w:ilvl="0" w:tplc="3D6CEA78">
      <w:start w:val="5"/>
      <w:numFmt w:val="decimal"/>
      <w:lvlText w:val="%1"/>
      <w:lvlJc w:val="left"/>
      <w:pPr>
        <w:tabs>
          <w:tab w:val="num" w:pos="720"/>
        </w:tabs>
        <w:ind w:left="720" w:hanging="720"/>
      </w:pPr>
      <w:rPr>
        <w:rFonts w:hint="default"/>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801072956">
    <w:abstractNumId w:val="3"/>
  </w:num>
  <w:num w:numId="2" w16cid:durableId="830026769">
    <w:abstractNumId w:val="8"/>
  </w:num>
  <w:num w:numId="3" w16cid:durableId="41102337">
    <w:abstractNumId w:val="10"/>
  </w:num>
  <w:num w:numId="4" w16cid:durableId="33316244">
    <w:abstractNumId w:val="5"/>
  </w:num>
  <w:num w:numId="5" w16cid:durableId="498010025">
    <w:abstractNumId w:val="1"/>
  </w:num>
  <w:num w:numId="6" w16cid:durableId="1884714147">
    <w:abstractNumId w:val="2"/>
  </w:num>
  <w:num w:numId="7" w16cid:durableId="1743410579">
    <w:abstractNumId w:val="6"/>
  </w:num>
  <w:num w:numId="8" w16cid:durableId="1083720327">
    <w:abstractNumId w:val="9"/>
  </w:num>
  <w:num w:numId="9" w16cid:durableId="1785035308">
    <w:abstractNumId w:val="11"/>
  </w:num>
  <w:num w:numId="10" w16cid:durableId="1039161220">
    <w:abstractNumId w:val="4"/>
  </w:num>
  <w:num w:numId="11" w16cid:durableId="2111267817">
    <w:abstractNumId w:val="0"/>
  </w:num>
  <w:num w:numId="12" w16cid:durableId="11542256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4A1"/>
    <w:rsid w:val="00000562"/>
    <w:rsid w:val="00001293"/>
    <w:rsid w:val="000056D4"/>
    <w:rsid w:val="000111FC"/>
    <w:rsid w:val="000115FA"/>
    <w:rsid w:val="0001367B"/>
    <w:rsid w:val="0001439E"/>
    <w:rsid w:val="00017DD5"/>
    <w:rsid w:val="000239E9"/>
    <w:rsid w:val="000265A1"/>
    <w:rsid w:val="00027DF3"/>
    <w:rsid w:val="000313C3"/>
    <w:rsid w:val="00033BD0"/>
    <w:rsid w:val="00040B28"/>
    <w:rsid w:val="00041E82"/>
    <w:rsid w:val="00043966"/>
    <w:rsid w:val="00043C2D"/>
    <w:rsid w:val="00055F98"/>
    <w:rsid w:val="00056C67"/>
    <w:rsid w:val="00061A8B"/>
    <w:rsid w:val="00061AE5"/>
    <w:rsid w:val="00061C62"/>
    <w:rsid w:val="00064A97"/>
    <w:rsid w:val="00067EC5"/>
    <w:rsid w:val="00070F1D"/>
    <w:rsid w:val="00074F80"/>
    <w:rsid w:val="00075075"/>
    <w:rsid w:val="000805C7"/>
    <w:rsid w:val="00080F3C"/>
    <w:rsid w:val="00081BA8"/>
    <w:rsid w:val="00081DB2"/>
    <w:rsid w:val="000863AD"/>
    <w:rsid w:val="00087536"/>
    <w:rsid w:val="0008777E"/>
    <w:rsid w:val="00087DB0"/>
    <w:rsid w:val="00095064"/>
    <w:rsid w:val="000A4AD9"/>
    <w:rsid w:val="000B50A5"/>
    <w:rsid w:val="000B5D9E"/>
    <w:rsid w:val="000C4361"/>
    <w:rsid w:val="000C5D35"/>
    <w:rsid w:val="000E3AB4"/>
    <w:rsid w:val="000F2039"/>
    <w:rsid w:val="000F24B1"/>
    <w:rsid w:val="0010043C"/>
    <w:rsid w:val="00101EF1"/>
    <w:rsid w:val="00102A92"/>
    <w:rsid w:val="00104F86"/>
    <w:rsid w:val="00104FFF"/>
    <w:rsid w:val="001071F5"/>
    <w:rsid w:val="00107249"/>
    <w:rsid w:val="00112DD9"/>
    <w:rsid w:val="0011319D"/>
    <w:rsid w:val="0011675C"/>
    <w:rsid w:val="00120057"/>
    <w:rsid w:val="0012183A"/>
    <w:rsid w:val="001222AE"/>
    <w:rsid w:val="00123F9C"/>
    <w:rsid w:val="001240CD"/>
    <w:rsid w:val="00127BC6"/>
    <w:rsid w:val="00130612"/>
    <w:rsid w:val="00134876"/>
    <w:rsid w:val="0014020D"/>
    <w:rsid w:val="0014132F"/>
    <w:rsid w:val="00151C72"/>
    <w:rsid w:val="00160920"/>
    <w:rsid w:val="00163733"/>
    <w:rsid w:val="001639BB"/>
    <w:rsid w:val="00164A9E"/>
    <w:rsid w:val="00164C8D"/>
    <w:rsid w:val="001666C0"/>
    <w:rsid w:val="001675FB"/>
    <w:rsid w:val="00170D67"/>
    <w:rsid w:val="00173DC1"/>
    <w:rsid w:val="001742C4"/>
    <w:rsid w:val="00174344"/>
    <w:rsid w:val="00174C99"/>
    <w:rsid w:val="001769F0"/>
    <w:rsid w:val="00185E64"/>
    <w:rsid w:val="001953E6"/>
    <w:rsid w:val="001975A0"/>
    <w:rsid w:val="001A0528"/>
    <w:rsid w:val="001A3361"/>
    <w:rsid w:val="001B4FDD"/>
    <w:rsid w:val="001B597D"/>
    <w:rsid w:val="001B7CF2"/>
    <w:rsid w:val="001C1539"/>
    <w:rsid w:val="001C797B"/>
    <w:rsid w:val="001D0E72"/>
    <w:rsid w:val="001D1BCF"/>
    <w:rsid w:val="001D220F"/>
    <w:rsid w:val="001D66AF"/>
    <w:rsid w:val="001D6FC5"/>
    <w:rsid w:val="001E1BE8"/>
    <w:rsid w:val="001E6223"/>
    <w:rsid w:val="001E66DB"/>
    <w:rsid w:val="001E6959"/>
    <w:rsid w:val="001F1DA3"/>
    <w:rsid w:val="001F21EB"/>
    <w:rsid w:val="001F4A1E"/>
    <w:rsid w:val="00201713"/>
    <w:rsid w:val="00202929"/>
    <w:rsid w:val="0020683A"/>
    <w:rsid w:val="00206EA8"/>
    <w:rsid w:val="0021133F"/>
    <w:rsid w:val="002128B4"/>
    <w:rsid w:val="00212E01"/>
    <w:rsid w:val="00217BFE"/>
    <w:rsid w:val="002239F0"/>
    <w:rsid w:val="00223ED2"/>
    <w:rsid w:val="00225857"/>
    <w:rsid w:val="00225EA4"/>
    <w:rsid w:val="00233885"/>
    <w:rsid w:val="0023670D"/>
    <w:rsid w:val="00243DC1"/>
    <w:rsid w:val="0024749C"/>
    <w:rsid w:val="002477ED"/>
    <w:rsid w:val="00250054"/>
    <w:rsid w:val="0025096F"/>
    <w:rsid w:val="002554BF"/>
    <w:rsid w:val="002572AB"/>
    <w:rsid w:val="00265769"/>
    <w:rsid w:val="002659EF"/>
    <w:rsid w:val="0026629F"/>
    <w:rsid w:val="00270D39"/>
    <w:rsid w:val="002719D9"/>
    <w:rsid w:val="002731DC"/>
    <w:rsid w:val="002758E7"/>
    <w:rsid w:val="00276814"/>
    <w:rsid w:val="002837AE"/>
    <w:rsid w:val="002842B0"/>
    <w:rsid w:val="0028482C"/>
    <w:rsid w:val="002858DC"/>
    <w:rsid w:val="00287FB4"/>
    <w:rsid w:val="00295B62"/>
    <w:rsid w:val="00296BA9"/>
    <w:rsid w:val="002A161E"/>
    <w:rsid w:val="002A319B"/>
    <w:rsid w:val="002A3F74"/>
    <w:rsid w:val="002A4DB5"/>
    <w:rsid w:val="002C0230"/>
    <w:rsid w:val="002C1728"/>
    <w:rsid w:val="002C2C1D"/>
    <w:rsid w:val="002C431D"/>
    <w:rsid w:val="002C4E1E"/>
    <w:rsid w:val="002D147B"/>
    <w:rsid w:val="002D492B"/>
    <w:rsid w:val="002D51DF"/>
    <w:rsid w:val="002E0280"/>
    <w:rsid w:val="002E363A"/>
    <w:rsid w:val="002E79E1"/>
    <w:rsid w:val="002F0401"/>
    <w:rsid w:val="002F1570"/>
    <w:rsid w:val="002F4FA3"/>
    <w:rsid w:val="002F6206"/>
    <w:rsid w:val="003034C5"/>
    <w:rsid w:val="00310E84"/>
    <w:rsid w:val="00326ADB"/>
    <w:rsid w:val="00330BA0"/>
    <w:rsid w:val="00332F63"/>
    <w:rsid w:val="0033407E"/>
    <w:rsid w:val="0033462E"/>
    <w:rsid w:val="00334904"/>
    <w:rsid w:val="0033580D"/>
    <w:rsid w:val="00341240"/>
    <w:rsid w:val="00344167"/>
    <w:rsid w:val="003466F7"/>
    <w:rsid w:val="00346F99"/>
    <w:rsid w:val="00354258"/>
    <w:rsid w:val="00362260"/>
    <w:rsid w:val="00363A6B"/>
    <w:rsid w:val="00363CDB"/>
    <w:rsid w:val="00371369"/>
    <w:rsid w:val="00372475"/>
    <w:rsid w:val="00376B41"/>
    <w:rsid w:val="003779BC"/>
    <w:rsid w:val="00382205"/>
    <w:rsid w:val="00384685"/>
    <w:rsid w:val="00384792"/>
    <w:rsid w:val="00386475"/>
    <w:rsid w:val="0039388D"/>
    <w:rsid w:val="00393CF0"/>
    <w:rsid w:val="00394DD8"/>
    <w:rsid w:val="00395249"/>
    <w:rsid w:val="00396AF6"/>
    <w:rsid w:val="0039728E"/>
    <w:rsid w:val="00397D7E"/>
    <w:rsid w:val="003A1630"/>
    <w:rsid w:val="003A258C"/>
    <w:rsid w:val="003A2F4F"/>
    <w:rsid w:val="003B6AED"/>
    <w:rsid w:val="003C1454"/>
    <w:rsid w:val="003C4340"/>
    <w:rsid w:val="003C7636"/>
    <w:rsid w:val="003C7A54"/>
    <w:rsid w:val="003D5567"/>
    <w:rsid w:val="003D5B2B"/>
    <w:rsid w:val="003F25DF"/>
    <w:rsid w:val="003F3B03"/>
    <w:rsid w:val="003F7586"/>
    <w:rsid w:val="00404B06"/>
    <w:rsid w:val="00411772"/>
    <w:rsid w:val="004118C1"/>
    <w:rsid w:val="00412512"/>
    <w:rsid w:val="004143BC"/>
    <w:rsid w:val="00414575"/>
    <w:rsid w:val="00414EEE"/>
    <w:rsid w:val="00415BFF"/>
    <w:rsid w:val="00430CCC"/>
    <w:rsid w:val="004428AF"/>
    <w:rsid w:val="00444613"/>
    <w:rsid w:val="004447DF"/>
    <w:rsid w:val="004471E0"/>
    <w:rsid w:val="00447D50"/>
    <w:rsid w:val="00451B72"/>
    <w:rsid w:val="00456A4F"/>
    <w:rsid w:val="00457ABA"/>
    <w:rsid w:val="00477016"/>
    <w:rsid w:val="00482663"/>
    <w:rsid w:val="00484B99"/>
    <w:rsid w:val="004868F2"/>
    <w:rsid w:val="00490402"/>
    <w:rsid w:val="004921C4"/>
    <w:rsid w:val="00492FC8"/>
    <w:rsid w:val="00495A73"/>
    <w:rsid w:val="00497649"/>
    <w:rsid w:val="004A0812"/>
    <w:rsid w:val="004A1C42"/>
    <w:rsid w:val="004A6DEF"/>
    <w:rsid w:val="004A7C11"/>
    <w:rsid w:val="004B403A"/>
    <w:rsid w:val="004B421A"/>
    <w:rsid w:val="004B7F65"/>
    <w:rsid w:val="004C0E7C"/>
    <w:rsid w:val="004C1569"/>
    <w:rsid w:val="004C7A41"/>
    <w:rsid w:val="004E02AE"/>
    <w:rsid w:val="004E2968"/>
    <w:rsid w:val="004F10A9"/>
    <w:rsid w:val="004F32C3"/>
    <w:rsid w:val="004F6E6A"/>
    <w:rsid w:val="00504456"/>
    <w:rsid w:val="00510B5C"/>
    <w:rsid w:val="00510B6A"/>
    <w:rsid w:val="00512CC2"/>
    <w:rsid w:val="00512CE5"/>
    <w:rsid w:val="00520F86"/>
    <w:rsid w:val="0052670F"/>
    <w:rsid w:val="00532347"/>
    <w:rsid w:val="00532519"/>
    <w:rsid w:val="00545136"/>
    <w:rsid w:val="005452A5"/>
    <w:rsid w:val="0054753F"/>
    <w:rsid w:val="005506C1"/>
    <w:rsid w:val="00553299"/>
    <w:rsid w:val="005631A3"/>
    <w:rsid w:val="00565F88"/>
    <w:rsid w:val="005676E7"/>
    <w:rsid w:val="00570FF7"/>
    <w:rsid w:val="00572B58"/>
    <w:rsid w:val="00577B0E"/>
    <w:rsid w:val="00580FFF"/>
    <w:rsid w:val="00593349"/>
    <w:rsid w:val="005942EB"/>
    <w:rsid w:val="00594B6F"/>
    <w:rsid w:val="005960A7"/>
    <w:rsid w:val="005A3BC4"/>
    <w:rsid w:val="005A56C9"/>
    <w:rsid w:val="005A7521"/>
    <w:rsid w:val="005C184C"/>
    <w:rsid w:val="005C1A8D"/>
    <w:rsid w:val="005C2D0B"/>
    <w:rsid w:val="005C404B"/>
    <w:rsid w:val="005C4532"/>
    <w:rsid w:val="005C5F3C"/>
    <w:rsid w:val="005C663A"/>
    <w:rsid w:val="005D08CD"/>
    <w:rsid w:val="005D0D19"/>
    <w:rsid w:val="005D4E39"/>
    <w:rsid w:val="005D5409"/>
    <w:rsid w:val="005D5743"/>
    <w:rsid w:val="005E0DCF"/>
    <w:rsid w:val="005E6D97"/>
    <w:rsid w:val="005E7F42"/>
    <w:rsid w:val="005F6028"/>
    <w:rsid w:val="005F60A8"/>
    <w:rsid w:val="005F685E"/>
    <w:rsid w:val="005F6DD7"/>
    <w:rsid w:val="00600B91"/>
    <w:rsid w:val="00600BB5"/>
    <w:rsid w:val="00605071"/>
    <w:rsid w:val="00614EAA"/>
    <w:rsid w:val="006275E8"/>
    <w:rsid w:val="00632047"/>
    <w:rsid w:val="006325FF"/>
    <w:rsid w:val="00632D25"/>
    <w:rsid w:val="0063481C"/>
    <w:rsid w:val="006454AF"/>
    <w:rsid w:val="006474A1"/>
    <w:rsid w:val="00647FD9"/>
    <w:rsid w:val="00655A78"/>
    <w:rsid w:val="006611B3"/>
    <w:rsid w:val="006644D5"/>
    <w:rsid w:val="0066479A"/>
    <w:rsid w:val="00666B06"/>
    <w:rsid w:val="00676102"/>
    <w:rsid w:val="00676890"/>
    <w:rsid w:val="00683DE1"/>
    <w:rsid w:val="00684593"/>
    <w:rsid w:val="00684697"/>
    <w:rsid w:val="00684CB9"/>
    <w:rsid w:val="00692D82"/>
    <w:rsid w:val="00694333"/>
    <w:rsid w:val="0069631D"/>
    <w:rsid w:val="0069632E"/>
    <w:rsid w:val="00696E64"/>
    <w:rsid w:val="006A1F75"/>
    <w:rsid w:val="006A2B70"/>
    <w:rsid w:val="006A5C2C"/>
    <w:rsid w:val="006A719E"/>
    <w:rsid w:val="006B3616"/>
    <w:rsid w:val="006B41CD"/>
    <w:rsid w:val="006B5761"/>
    <w:rsid w:val="006B58A8"/>
    <w:rsid w:val="006B7CB5"/>
    <w:rsid w:val="006C19D4"/>
    <w:rsid w:val="006C37E9"/>
    <w:rsid w:val="006C6555"/>
    <w:rsid w:val="006D121C"/>
    <w:rsid w:val="006D2A73"/>
    <w:rsid w:val="006D3283"/>
    <w:rsid w:val="006D33F1"/>
    <w:rsid w:val="006D3913"/>
    <w:rsid w:val="006D4AAE"/>
    <w:rsid w:val="006D5111"/>
    <w:rsid w:val="006E21D3"/>
    <w:rsid w:val="006E2F20"/>
    <w:rsid w:val="006E64F5"/>
    <w:rsid w:val="006F12FB"/>
    <w:rsid w:val="006F28B4"/>
    <w:rsid w:val="006F3BC5"/>
    <w:rsid w:val="006F67AE"/>
    <w:rsid w:val="00700914"/>
    <w:rsid w:val="00700D3A"/>
    <w:rsid w:val="00701421"/>
    <w:rsid w:val="0071054A"/>
    <w:rsid w:val="00720CDF"/>
    <w:rsid w:val="00722CC6"/>
    <w:rsid w:val="00732305"/>
    <w:rsid w:val="0073263F"/>
    <w:rsid w:val="007327F7"/>
    <w:rsid w:val="00740566"/>
    <w:rsid w:val="00742E1E"/>
    <w:rsid w:val="00742E68"/>
    <w:rsid w:val="007437BF"/>
    <w:rsid w:val="00751710"/>
    <w:rsid w:val="00753471"/>
    <w:rsid w:val="00755202"/>
    <w:rsid w:val="0075748F"/>
    <w:rsid w:val="00757CD6"/>
    <w:rsid w:val="00761066"/>
    <w:rsid w:val="00762ADC"/>
    <w:rsid w:val="00763F48"/>
    <w:rsid w:val="00767179"/>
    <w:rsid w:val="00773689"/>
    <w:rsid w:val="007749F8"/>
    <w:rsid w:val="00777FA4"/>
    <w:rsid w:val="00777FC7"/>
    <w:rsid w:val="00781629"/>
    <w:rsid w:val="00782E1F"/>
    <w:rsid w:val="00784D6E"/>
    <w:rsid w:val="00791D0F"/>
    <w:rsid w:val="00792CD3"/>
    <w:rsid w:val="00793291"/>
    <w:rsid w:val="007A05A5"/>
    <w:rsid w:val="007A6584"/>
    <w:rsid w:val="007A78B9"/>
    <w:rsid w:val="007B275B"/>
    <w:rsid w:val="007B307D"/>
    <w:rsid w:val="007B3FE9"/>
    <w:rsid w:val="007B4E96"/>
    <w:rsid w:val="007C4AF4"/>
    <w:rsid w:val="007C772A"/>
    <w:rsid w:val="007D76AB"/>
    <w:rsid w:val="007E316B"/>
    <w:rsid w:val="007E5FA7"/>
    <w:rsid w:val="007F00D4"/>
    <w:rsid w:val="007F6F03"/>
    <w:rsid w:val="007F7DC2"/>
    <w:rsid w:val="008010B5"/>
    <w:rsid w:val="0080244F"/>
    <w:rsid w:val="00805AE3"/>
    <w:rsid w:val="00806965"/>
    <w:rsid w:val="00807017"/>
    <w:rsid w:val="0081203E"/>
    <w:rsid w:val="00816579"/>
    <w:rsid w:val="00816682"/>
    <w:rsid w:val="00823350"/>
    <w:rsid w:val="0082419B"/>
    <w:rsid w:val="00824CC9"/>
    <w:rsid w:val="00834500"/>
    <w:rsid w:val="00836A12"/>
    <w:rsid w:val="00840C1C"/>
    <w:rsid w:val="00843C0C"/>
    <w:rsid w:val="00846B94"/>
    <w:rsid w:val="0084768B"/>
    <w:rsid w:val="00850DCA"/>
    <w:rsid w:val="008525F4"/>
    <w:rsid w:val="00853911"/>
    <w:rsid w:val="00855466"/>
    <w:rsid w:val="008573CE"/>
    <w:rsid w:val="008635C0"/>
    <w:rsid w:val="00863DC9"/>
    <w:rsid w:val="008733AF"/>
    <w:rsid w:val="00874788"/>
    <w:rsid w:val="008749E4"/>
    <w:rsid w:val="008768BB"/>
    <w:rsid w:val="008811BE"/>
    <w:rsid w:val="0088342B"/>
    <w:rsid w:val="00883AD0"/>
    <w:rsid w:val="00884461"/>
    <w:rsid w:val="00885AED"/>
    <w:rsid w:val="00892982"/>
    <w:rsid w:val="00893049"/>
    <w:rsid w:val="008933AC"/>
    <w:rsid w:val="00894983"/>
    <w:rsid w:val="008A3123"/>
    <w:rsid w:val="008B406B"/>
    <w:rsid w:val="008C02CE"/>
    <w:rsid w:val="008C2694"/>
    <w:rsid w:val="008C35B8"/>
    <w:rsid w:val="008C42F3"/>
    <w:rsid w:val="008C5A13"/>
    <w:rsid w:val="008C6A1C"/>
    <w:rsid w:val="008C6EF3"/>
    <w:rsid w:val="008D3FAE"/>
    <w:rsid w:val="008D7137"/>
    <w:rsid w:val="008E6384"/>
    <w:rsid w:val="008E7F71"/>
    <w:rsid w:val="008F6B60"/>
    <w:rsid w:val="008F7083"/>
    <w:rsid w:val="0090250A"/>
    <w:rsid w:val="00910DB0"/>
    <w:rsid w:val="0091197D"/>
    <w:rsid w:val="0091487A"/>
    <w:rsid w:val="00920EA9"/>
    <w:rsid w:val="00930596"/>
    <w:rsid w:val="0093108E"/>
    <w:rsid w:val="009362C1"/>
    <w:rsid w:val="00942CA1"/>
    <w:rsid w:val="00942DD1"/>
    <w:rsid w:val="00946862"/>
    <w:rsid w:val="0094774E"/>
    <w:rsid w:val="009508C5"/>
    <w:rsid w:val="00952567"/>
    <w:rsid w:val="009562B1"/>
    <w:rsid w:val="00957EEB"/>
    <w:rsid w:val="0096255B"/>
    <w:rsid w:val="0096266B"/>
    <w:rsid w:val="00966483"/>
    <w:rsid w:val="009671B8"/>
    <w:rsid w:val="00967AB0"/>
    <w:rsid w:val="00971DFD"/>
    <w:rsid w:val="00972C46"/>
    <w:rsid w:val="00974B2D"/>
    <w:rsid w:val="00981BBE"/>
    <w:rsid w:val="00981D0D"/>
    <w:rsid w:val="009824A0"/>
    <w:rsid w:val="009A118D"/>
    <w:rsid w:val="009A29C0"/>
    <w:rsid w:val="009A6C05"/>
    <w:rsid w:val="009A704D"/>
    <w:rsid w:val="009B0ABD"/>
    <w:rsid w:val="009B1C65"/>
    <w:rsid w:val="009B330D"/>
    <w:rsid w:val="009B3815"/>
    <w:rsid w:val="009B6A6F"/>
    <w:rsid w:val="009C25C0"/>
    <w:rsid w:val="009C5515"/>
    <w:rsid w:val="009C63D9"/>
    <w:rsid w:val="009C7A31"/>
    <w:rsid w:val="009D2206"/>
    <w:rsid w:val="009D2DC3"/>
    <w:rsid w:val="009D4602"/>
    <w:rsid w:val="009D76A7"/>
    <w:rsid w:val="009E1372"/>
    <w:rsid w:val="009E27A3"/>
    <w:rsid w:val="009F4103"/>
    <w:rsid w:val="009F593C"/>
    <w:rsid w:val="00A010EE"/>
    <w:rsid w:val="00A0605A"/>
    <w:rsid w:val="00A067DA"/>
    <w:rsid w:val="00A1025F"/>
    <w:rsid w:val="00A1043B"/>
    <w:rsid w:val="00A12A05"/>
    <w:rsid w:val="00A13431"/>
    <w:rsid w:val="00A21966"/>
    <w:rsid w:val="00A2284C"/>
    <w:rsid w:val="00A2422F"/>
    <w:rsid w:val="00A2795F"/>
    <w:rsid w:val="00A33D31"/>
    <w:rsid w:val="00A41CB5"/>
    <w:rsid w:val="00A42D69"/>
    <w:rsid w:val="00A457CA"/>
    <w:rsid w:val="00A47944"/>
    <w:rsid w:val="00A51DE6"/>
    <w:rsid w:val="00A52219"/>
    <w:rsid w:val="00A52DFC"/>
    <w:rsid w:val="00A53860"/>
    <w:rsid w:val="00A56525"/>
    <w:rsid w:val="00A57705"/>
    <w:rsid w:val="00A62CF1"/>
    <w:rsid w:val="00A6358C"/>
    <w:rsid w:val="00A65089"/>
    <w:rsid w:val="00A651BF"/>
    <w:rsid w:val="00A7701D"/>
    <w:rsid w:val="00A90C8D"/>
    <w:rsid w:val="00A9113B"/>
    <w:rsid w:val="00A924DE"/>
    <w:rsid w:val="00A93A0B"/>
    <w:rsid w:val="00A958A8"/>
    <w:rsid w:val="00A965F4"/>
    <w:rsid w:val="00A96638"/>
    <w:rsid w:val="00A96A8C"/>
    <w:rsid w:val="00AA5095"/>
    <w:rsid w:val="00AA5A79"/>
    <w:rsid w:val="00AB0AE9"/>
    <w:rsid w:val="00AB5018"/>
    <w:rsid w:val="00AB552C"/>
    <w:rsid w:val="00AC3D30"/>
    <w:rsid w:val="00AC422E"/>
    <w:rsid w:val="00AC43CC"/>
    <w:rsid w:val="00AC648F"/>
    <w:rsid w:val="00AC783B"/>
    <w:rsid w:val="00AD30C1"/>
    <w:rsid w:val="00AD4BB1"/>
    <w:rsid w:val="00AE02C3"/>
    <w:rsid w:val="00AE3409"/>
    <w:rsid w:val="00AE584E"/>
    <w:rsid w:val="00AE5E89"/>
    <w:rsid w:val="00AE64AE"/>
    <w:rsid w:val="00AE67BD"/>
    <w:rsid w:val="00AF240D"/>
    <w:rsid w:val="00AF354A"/>
    <w:rsid w:val="00B0025E"/>
    <w:rsid w:val="00B01B00"/>
    <w:rsid w:val="00B02F42"/>
    <w:rsid w:val="00B03587"/>
    <w:rsid w:val="00B046EA"/>
    <w:rsid w:val="00B11D11"/>
    <w:rsid w:val="00B11FA9"/>
    <w:rsid w:val="00B1412D"/>
    <w:rsid w:val="00B143CA"/>
    <w:rsid w:val="00B206D0"/>
    <w:rsid w:val="00B2157D"/>
    <w:rsid w:val="00B2186E"/>
    <w:rsid w:val="00B21B43"/>
    <w:rsid w:val="00B21F82"/>
    <w:rsid w:val="00B22A59"/>
    <w:rsid w:val="00B22B24"/>
    <w:rsid w:val="00B23936"/>
    <w:rsid w:val="00B245D2"/>
    <w:rsid w:val="00B245F6"/>
    <w:rsid w:val="00B24E48"/>
    <w:rsid w:val="00B267ED"/>
    <w:rsid w:val="00B27115"/>
    <w:rsid w:val="00B3191E"/>
    <w:rsid w:val="00B466A0"/>
    <w:rsid w:val="00B4707F"/>
    <w:rsid w:val="00B473A9"/>
    <w:rsid w:val="00B53D06"/>
    <w:rsid w:val="00B56255"/>
    <w:rsid w:val="00B56268"/>
    <w:rsid w:val="00B6172F"/>
    <w:rsid w:val="00B64559"/>
    <w:rsid w:val="00B64C34"/>
    <w:rsid w:val="00B6512D"/>
    <w:rsid w:val="00B65995"/>
    <w:rsid w:val="00B67AE9"/>
    <w:rsid w:val="00B736BD"/>
    <w:rsid w:val="00B736EA"/>
    <w:rsid w:val="00B74028"/>
    <w:rsid w:val="00B74B39"/>
    <w:rsid w:val="00B74EA7"/>
    <w:rsid w:val="00B75337"/>
    <w:rsid w:val="00B77922"/>
    <w:rsid w:val="00B81222"/>
    <w:rsid w:val="00B82CE9"/>
    <w:rsid w:val="00B84B43"/>
    <w:rsid w:val="00B867A8"/>
    <w:rsid w:val="00B87126"/>
    <w:rsid w:val="00B95ED4"/>
    <w:rsid w:val="00B96786"/>
    <w:rsid w:val="00BA0327"/>
    <w:rsid w:val="00BA0FE5"/>
    <w:rsid w:val="00BA3788"/>
    <w:rsid w:val="00BB2339"/>
    <w:rsid w:val="00BB7103"/>
    <w:rsid w:val="00BC7187"/>
    <w:rsid w:val="00BD1D3B"/>
    <w:rsid w:val="00BD47BC"/>
    <w:rsid w:val="00BE1B9F"/>
    <w:rsid w:val="00BE1C96"/>
    <w:rsid w:val="00BE231C"/>
    <w:rsid w:val="00BE2376"/>
    <w:rsid w:val="00BE3F19"/>
    <w:rsid w:val="00BE66F5"/>
    <w:rsid w:val="00BE679C"/>
    <w:rsid w:val="00BE6843"/>
    <w:rsid w:val="00BF0814"/>
    <w:rsid w:val="00BF4190"/>
    <w:rsid w:val="00BF61A9"/>
    <w:rsid w:val="00BF7442"/>
    <w:rsid w:val="00BF7E77"/>
    <w:rsid w:val="00C02AEB"/>
    <w:rsid w:val="00C100F1"/>
    <w:rsid w:val="00C11644"/>
    <w:rsid w:val="00C16882"/>
    <w:rsid w:val="00C17371"/>
    <w:rsid w:val="00C23A9D"/>
    <w:rsid w:val="00C35C37"/>
    <w:rsid w:val="00C35DB7"/>
    <w:rsid w:val="00C45662"/>
    <w:rsid w:val="00C463B4"/>
    <w:rsid w:val="00C51020"/>
    <w:rsid w:val="00C51E53"/>
    <w:rsid w:val="00C551C7"/>
    <w:rsid w:val="00C6388A"/>
    <w:rsid w:val="00C655CA"/>
    <w:rsid w:val="00C656AF"/>
    <w:rsid w:val="00C66257"/>
    <w:rsid w:val="00C71497"/>
    <w:rsid w:val="00C73A81"/>
    <w:rsid w:val="00C74A42"/>
    <w:rsid w:val="00C77999"/>
    <w:rsid w:val="00C812A6"/>
    <w:rsid w:val="00C82280"/>
    <w:rsid w:val="00C85022"/>
    <w:rsid w:val="00C90796"/>
    <w:rsid w:val="00C91039"/>
    <w:rsid w:val="00C96B96"/>
    <w:rsid w:val="00CA16D9"/>
    <w:rsid w:val="00CA1802"/>
    <w:rsid w:val="00CC1D17"/>
    <w:rsid w:val="00CC3D3B"/>
    <w:rsid w:val="00CC6495"/>
    <w:rsid w:val="00CC727F"/>
    <w:rsid w:val="00CC7F87"/>
    <w:rsid w:val="00CD0C3D"/>
    <w:rsid w:val="00CD1E62"/>
    <w:rsid w:val="00CD7DC8"/>
    <w:rsid w:val="00CE5773"/>
    <w:rsid w:val="00CE62C7"/>
    <w:rsid w:val="00CF5748"/>
    <w:rsid w:val="00CF787E"/>
    <w:rsid w:val="00D009C4"/>
    <w:rsid w:val="00D03814"/>
    <w:rsid w:val="00D03CA9"/>
    <w:rsid w:val="00D04878"/>
    <w:rsid w:val="00D13CCE"/>
    <w:rsid w:val="00D141F3"/>
    <w:rsid w:val="00D15B7E"/>
    <w:rsid w:val="00D173F2"/>
    <w:rsid w:val="00D179B6"/>
    <w:rsid w:val="00D201F2"/>
    <w:rsid w:val="00D27EB4"/>
    <w:rsid w:val="00D30066"/>
    <w:rsid w:val="00D33D9D"/>
    <w:rsid w:val="00D35316"/>
    <w:rsid w:val="00D377F6"/>
    <w:rsid w:val="00D42BE4"/>
    <w:rsid w:val="00D47A49"/>
    <w:rsid w:val="00D51272"/>
    <w:rsid w:val="00D536E6"/>
    <w:rsid w:val="00D5455C"/>
    <w:rsid w:val="00D567D0"/>
    <w:rsid w:val="00D61CD7"/>
    <w:rsid w:val="00D62745"/>
    <w:rsid w:val="00D62CEB"/>
    <w:rsid w:val="00D7394F"/>
    <w:rsid w:val="00D75DFB"/>
    <w:rsid w:val="00D827D3"/>
    <w:rsid w:val="00D83AFA"/>
    <w:rsid w:val="00D84E6D"/>
    <w:rsid w:val="00D92D79"/>
    <w:rsid w:val="00D94D34"/>
    <w:rsid w:val="00DA2CE4"/>
    <w:rsid w:val="00DA43F3"/>
    <w:rsid w:val="00DA4813"/>
    <w:rsid w:val="00DA4C87"/>
    <w:rsid w:val="00DB0C42"/>
    <w:rsid w:val="00DB163E"/>
    <w:rsid w:val="00DB1CE4"/>
    <w:rsid w:val="00DB25BA"/>
    <w:rsid w:val="00DB4B7C"/>
    <w:rsid w:val="00DC58ED"/>
    <w:rsid w:val="00DC7C55"/>
    <w:rsid w:val="00DD0275"/>
    <w:rsid w:val="00DD0E70"/>
    <w:rsid w:val="00DD1184"/>
    <w:rsid w:val="00DD1C5A"/>
    <w:rsid w:val="00DD21C6"/>
    <w:rsid w:val="00DD2AC3"/>
    <w:rsid w:val="00DD440E"/>
    <w:rsid w:val="00DD6EC3"/>
    <w:rsid w:val="00DE1791"/>
    <w:rsid w:val="00DE4B5F"/>
    <w:rsid w:val="00DE5158"/>
    <w:rsid w:val="00DF134E"/>
    <w:rsid w:val="00DF7BDE"/>
    <w:rsid w:val="00E014F2"/>
    <w:rsid w:val="00E16376"/>
    <w:rsid w:val="00E22240"/>
    <w:rsid w:val="00E24561"/>
    <w:rsid w:val="00E25096"/>
    <w:rsid w:val="00E25E2C"/>
    <w:rsid w:val="00E31B09"/>
    <w:rsid w:val="00E32D38"/>
    <w:rsid w:val="00E35C4F"/>
    <w:rsid w:val="00E44E32"/>
    <w:rsid w:val="00E450C0"/>
    <w:rsid w:val="00E51E45"/>
    <w:rsid w:val="00E52E11"/>
    <w:rsid w:val="00E5444A"/>
    <w:rsid w:val="00E5672F"/>
    <w:rsid w:val="00E56E76"/>
    <w:rsid w:val="00E63F2B"/>
    <w:rsid w:val="00E64569"/>
    <w:rsid w:val="00E71EE8"/>
    <w:rsid w:val="00E72493"/>
    <w:rsid w:val="00E737E7"/>
    <w:rsid w:val="00E76115"/>
    <w:rsid w:val="00E76A3B"/>
    <w:rsid w:val="00E80081"/>
    <w:rsid w:val="00E81FC1"/>
    <w:rsid w:val="00EA696C"/>
    <w:rsid w:val="00EC0D00"/>
    <w:rsid w:val="00EC0F1B"/>
    <w:rsid w:val="00EC5DAC"/>
    <w:rsid w:val="00ED68D5"/>
    <w:rsid w:val="00EE3578"/>
    <w:rsid w:val="00EF4ABD"/>
    <w:rsid w:val="00F001CF"/>
    <w:rsid w:val="00F021FE"/>
    <w:rsid w:val="00F0491E"/>
    <w:rsid w:val="00F053F7"/>
    <w:rsid w:val="00F10199"/>
    <w:rsid w:val="00F10BCC"/>
    <w:rsid w:val="00F156F9"/>
    <w:rsid w:val="00F16202"/>
    <w:rsid w:val="00F20404"/>
    <w:rsid w:val="00F20504"/>
    <w:rsid w:val="00F20B12"/>
    <w:rsid w:val="00F25CCE"/>
    <w:rsid w:val="00F3088F"/>
    <w:rsid w:val="00F34470"/>
    <w:rsid w:val="00F47B02"/>
    <w:rsid w:val="00F504CD"/>
    <w:rsid w:val="00F52BA2"/>
    <w:rsid w:val="00F57CED"/>
    <w:rsid w:val="00F60CC8"/>
    <w:rsid w:val="00F633D1"/>
    <w:rsid w:val="00F64866"/>
    <w:rsid w:val="00F65057"/>
    <w:rsid w:val="00F6529C"/>
    <w:rsid w:val="00F653DE"/>
    <w:rsid w:val="00F65DB0"/>
    <w:rsid w:val="00F70C0D"/>
    <w:rsid w:val="00F714E8"/>
    <w:rsid w:val="00F74454"/>
    <w:rsid w:val="00F74DF1"/>
    <w:rsid w:val="00F81B82"/>
    <w:rsid w:val="00F95260"/>
    <w:rsid w:val="00FA4141"/>
    <w:rsid w:val="00FA4CB5"/>
    <w:rsid w:val="00FB0323"/>
    <w:rsid w:val="00FB0CD8"/>
    <w:rsid w:val="00FB614C"/>
    <w:rsid w:val="00FC7041"/>
    <w:rsid w:val="00FD1731"/>
    <w:rsid w:val="00FE0C2C"/>
    <w:rsid w:val="00FE2784"/>
    <w:rsid w:val="00FE3B86"/>
    <w:rsid w:val="00FE4CFB"/>
    <w:rsid w:val="00FE513D"/>
    <w:rsid w:val="00FE55A2"/>
    <w:rsid w:val="00FF0D2F"/>
    <w:rsid w:val="0411298E"/>
    <w:rsid w:val="06B83E3A"/>
    <w:rsid w:val="07CCC524"/>
    <w:rsid w:val="13223F3A"/>
    <w:rsid w:val="146AC38E"/>
    <w:rsid w:val="15F8D81D"/>
    <w:rsid w:val="168613ED"/>
    <w:rsid w:val="1912F8D9"/>
    <w:rsid w:val="1955C5C1"/>
    <w:rsid w:val="20C28C09"/>
    <w:rsid w:val="2A7930E3"/>
    <w:rsid w:val="3F16DB18"/>
    <w:rsid w:val="409BD46E"/>
    <w:rsid w:val="49B319DA"/>
    <w:rsid w:val="49B38CC6"/>
    <w:rsid w:val="51CC37E0"/>
    <w:rsid w:val="560B8E87"/>
    <w:rsid w:val="62068B8B"/>
    <w:rsid w:val="620A1E45"/>
    <w:rsid w:val="6F395D1E"/>
    <w:rsid w:val="715E39C2"/>
    <w:rsid w:val="76B6839D"/>
    <w:rsid w:val="7E790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8B5126"/>
  <w15:chartTrackingRefBased/>
  <w15:docId w15:val="{15EE88A6-5913-4E1F-9CBC-4220120C9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link w:val="Heading1Char"/>
    <w:qFormat/>
    <w:pPr>
      <w:keepNext/>
      <w:tabs>
        <w:tab w:val="left" w:pos="1880"/>
      </w:tabs>
      <w:jc w:val="right"/>
      <w:outlineLvl w:val="0"/>
    </w:pPr>
    <w:rPr>
      <w:b/>
      <w:u w:val="single"/>
    </w:rPr>
  </w:style>
  <w:style w:type="paragraph" w:styleId="Heading2">
    <w:name w:val="heading 2"/>
    <w:basedOn w:val="Normal"/>
    <w:next w:val="Normal"/>
    <w:link w:val="Heading2Char"/>
    <w:qFormat/>
    <w:pPr>
      <w:keepNext/>
      <w:tabs>
        <w:tab w:val="left" w:pos="1880"/>
        <w:tab w:val="right" w:pos="10080"/>
      </w:tabs>
      <w:outlineLvl w:val="1"/>
    </w:pPr>
    <w:rPr>
      <w:b/>
    </w:rPr>
  </w:style>
  <w:style w:type="paragraph" w:styleId="Heading3">
    <w:name w:val="heading 3"/>
    <w:basedOn w:val="Normal"/>
    <w:next w:val="Normal"/>
    <w:link w:val="Heading3Char"/>
    <w:qFormat/>
    <w:pPr>
      <w:keepNext/>
      <w:tabs>
        <w:tab w:val="left" w:pos="6120"/>
        <w:tab w:val="left" w:pos="7380"/>
      </w:tabs>
      <w:ind w:left="720" w:hanging="720"/>
      <w:jc w:val="both"/>
      <w:outlineLvl w:val="2"/>
    </w:pPr>
    <w:rPr>
      <w:b/>
    </w:rPr>
  </w:style>
  <w:style w:type="paragraph" w:styleId="Heading4">
    <w:name w:val="heading 4"/>
    <w:basedOn w:val="Normal"/>
    <w:next w:val="Normal"/>
    <w:link w:val="Heading4Char"/>
    <w:qFormat/>
    <w:pPr>
      <w:keepNext/>
      <w:tabs>
        <w:tab w:val="decimal" w:pos="642"/>
        <w:tab w:val="left" w:pos="6120"/>
        <w:tab w:val="left" w:pos="7380"/>
      </w:tabs>
      <w:jc w:val="center"/>
      <w:outlineLvl w:val="3"/>
    </w:pPr>
    <w:rPr>
      <w:sz w:val="20"/>
      <w:u w:val="single"/>
    </w:rPr>
  </w:style>
  <w:style w:type="paragraph" w:styleId="Heading5">
    <w:name w:val="heading 5"/>
    <w:basedOn w:val="Normal"/>
    <w:next w:val="Normal"/>
    <w:link w:val="Heading5Char"/>
    <w:qFormat/>
    <w:pPr>
      <w:keepNext/>
      <w:tabs>
        <w:tab w:val="decimal" w:pos="619"/>
        <w:tab w:val="left" w:pos="6120"/>
        <w:tab w:val="left" w:pos="7380"/>
      </w:tabs>
      <w:jc w:val="center"/>
      <w:outlineLvl w:val="4"/>
    </w:pPr>
    <w:rPr>
      <w:b/>
      <w:sz w:val="20"/>
      <w:u w:val="single"/>
    </w:rPr>
  </w:style>
  <w:style w:type="paragraph" w:styleId="Heading6">
    <w:name w:val="heading 6"/>
    <w:basedOn w:val="Normal"/>
    <w:next w:val="Normal"/>
    <w:link w:val="Heading6Char"/>
    <w:qFormat/>
    <w:pPr>
      <w:keepNext/>
      <w:tabs>
        <w:tab w:val="left" w:pos="720"/>
        <w:tab w:val="left" w:pos="6120"/>
        <w:tab w:val="left" w:pos="7380"/>
      </w:tabs>
      <w:jc w:val="both"/>
      <w:outlineLvl w:val="5"/>
    </w:pPr>
    <w:rPr>
      <w:b/>
    </w:rPr>
  </w:style>
  <w:style w:type="paragraph" w:styleId="Heading7">
    <w:name w:val="heading 7"/>
    <w:basedOn w:val="Normal"/>
    <w:next w:val="Normal"/>
    <w:link w:val="Heading7Char"/>
    <w:qFormat/>
    <w:pPr>
      <w:keepNext/>
      <w:outlineLvl w:val="6"/>
    </w:pPr>
    <w:rPr>
      <w:u w:val="single"/>
    </w:rPr>
  </w:style>
  <w:style w:type="paragraph" w:styleId="Heading8">
    <w:name w:val="heading 8"/>
    <w:basedOn w:val="Normal"/>
    <w:next w:val="Normal"/>
    <w:qFormat/>
    <w:pPr>
      <w:keepNext/>
      <w:jc w:val="both"/>
      <w:outlineLvl w:val="7"/>
    </w:pPr>
    <w:rPr>
      <w:b/>
      <w:sz w:val="20"/>
    </w:rPr>
  </w:style>
  <w:style w:type="paragraph" w:styleId="Heading9">
    <w:name w:val="heading 9"/>
    <w:basedOn w:val="Normal"/>
    <w:next w:val="Normal"/>
    <w:qFormat/>
    <w:pPr>
      <w:keepNext/>
      <w:jc w:val="both"/>
      <w:outlineLvl w:val="8"/>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819"/>
        <w:tab w:val="right" w:pos="9071"/>
      </w:tabs>
    </w:pPr>
  </w:style>
  <w:style w:type="paragraph" w:styleId="BodyTextIndent">
    <w:name w:val="Body Text Indent"/>
    <w:basedOn w:val="Normal"/>
    <w:link w:val="BodyTextIndentChar"/>
    <w:pPr>
      <w:tabs>
        <w:tab w:val="left" w:pos="720"/>
        <w:tab w:val="left" w:pos="6120"/>
        <w:tab w:val="left" w:pos="7380"/>
      </w:tabs>
      <w:ind w:left="720" w:hanging="720"/>
      <w:jc w:val="both"/>
    </w:pPr>
  </w:style>
  <w:style w:type="paragraph" w:styleId="BodyTextIndent2">
    <w:name w:val="Body Text Indent 2"/>
    <w:basedOn w:val="Normal"/>
    <w:link w:val="BodyTextIndent2Char"/>
    <w:pPr>
      <w:tabs>
        <w:tab w:val="left" w:pos="709"/>
        <w:tab w:val="left" w:pos="6120"/>
        <w:tab w:val="left" w:pos="7380"/>
      </w:tabs>
      <w:ind w:left="720"/>
      <w:jc w:val="both"/>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Indent3">
    <w:name w:val="Body Text Indent 3"/>
    <w:basedOn w:val="Normal"/>
    <w:link w:val="BodyTextIndent3Char"/>
    <w:pPr>
      <w:tabs>
        <w:tab w:val="left" w:pos="6120"/>
        <w:tab w:val="left" w:pos="7380"/>
      </w:tabs>
      <w:ind w:left="709"/>
      <w:jc w:val="both"/>
    </w:pPr>
  </w:style>
  <w:style w:type="paragraph" w:styleId="BalloonText">
    <w:name w:val="Balloon Text"/>
    <w:basedOn w:val="Normal"/>
    <w:link w:val="BalloonTextChar"/>
    <w:semiHidden/>
    <w:rsid w:val="00AE584E"/>
    <w:rPr>
      <w:rFonts w:ascii="Tahoma" w:hAnsi="Tahoma" w:cs="Tahoma"/>
      <w:sz w:val="16"/>
      <w:szCs w:val="16"/>
    </w:rPr>
  </w:style>
  <w:style w:type="table" w:styleId="TableGrid">
    <w:name w:val="Table Grid"/>
    <w:basedOn w:val="TableNormal"/>
    <w:rsid w:val="00EE3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6629F"/>
    <w:pPr>
      <w:ind w:left="1440" w:hanging="720"/>
      <w:jc w:val="both"/>
    </w:pPr>
    <w:rPr>
      <w:rFonts w:ascii="Palatino" w:hAnsi="Palatino"/>
    </w:rPr>
  </w:style>
  <w:style w:type="character" w:customStyle="1" w:styleId="BodyText2Char">
    <w:name w:val="Body Text 2 Char"/>
    <w:link w:val="BodyText2"/>
    <w:rsid w:val="0026629F"/>
    <w:rPr>
      <w:rFonts w:ascii="Palatino" w:hAnsi="Palatino"/>
      <w:sz w:val="22"/>
      <w:lang w:eastAsia="en-US"/>
    </w:rPr>
  </w:style>
  <w:style w:type="paragraph" w:styleId="DocumentMap">
    <w:name w:val="Document Map"/>
    <w:basedOn w:val="Normal"/>
    <w:link w:val="DocumentMapChar"/>
    <w:semiHidden/>
    <w:rsid w:val="0026629F"/>
    <w:pPr>
      <w:shd w:val="clear" w:color="auto" w:fill="000080"/>
    </w:pPr>
    <w:rPr>
      <w:rFonts w:ascii="Tahoma" w:hAnsi="Tahoma"/>
    </w:rPr>
  </w:style>
  <w:style w:type="character" w:customStyle="1" w:styleId="DocumentMapChar">
    <w:name w:val="Document Map Char"/>
    <w:link w:val="DocumentMap"/>
    <w:semiHidden/>
    <w:rsid w:val="0026629F"/>
    <w:rPr>
      <w:rFonts w:ascii="Tahoma" w:hAnsi="Tahoma"/>
      <w:sz w:val="22"/>
      <w:shd w:val="clear" w:color="auto" w:fill="000080"/>
      <w:lang w:eastAsia="en-US"/>
    </w:rPr>
  </w:style>
  <w:style w:type="paragraph" w:styleId="Title">
    <w:name w:val="Title"/>
    <w:basedOn w:val="Normal"/>
    <w:link w:val="TitleChar"/>
    <w:qFormat/>
    <w:rsid w:val="0026629F"/>
    <w:pPr>
      <w:jc w:val="center"/>
    </w:pPr>
    <w:rPr>
      <w:b/>
      <w:u w:val="single"/>
    </w:rPr>
  </w:style>
  <w:style w:type="character" w:customStyle="1" w:styleId="TitleChar">
    <w:name w:val="Title Char"/>
    <w:link w:val="Title"/>
    <w:rsid w:val="0026629F"/>
    <w:rPr>
      <w:rFonts w:ascii="Arial" w:hAnsi="Arial"/>
      <w:b/>
      <w:sz w:val="22"/>
      <w:u w:val="single"/>
      <w:lang w:eastAsia="en-US"/>
    </w:rPr>
  </w:style>
  <w:style w:type="character" w:customStyle="1" w:styleId="Heading1Char">
    <w:name w:val="Heading 1 Char"/>
    <w:link w:val="Heading1"/>
    <w:rsid w:val="00762ADC"/>
    <w:rPr>
      <w:rFonts w:ascii="Arial" w:hAnsi="Arial"/>
      <w:b/>
      <w:sz w:val="22"/>
      <w:u w:val="single"/>
      <w:lang w:eastAsia="en-US"/>
    </w:rPr>
  </w:style>
  <w:style w:type="character" w:customStyle="1" w:styleId="Heading2Char">
    <w:name w:val="Heading 2 Char"/>
    <w:link w:val="Heading2"/>
    <w:rsid w:val="00762ADC"/>
    <w:rPr>
      <w:rFonts w:ascii="Arial" w:hAnsi="Arial"/>
      <w:b/>
      <w:sz w:val="22"/>
      <w:lang w:eastAsia="en-US"/>
    </w:rPr>
  </w:style>
  <w:style w:type="character" w:customStyle="1" w:styleId="Heading3Char">
    <w:name w:val="Heading 3 Char"/>
    <w:link w:val="Heading3"/>
    <w:rsid w:val="00762ADC"/>
    <w:rPr>
      <w:rFonts w:ascii="Arial" w:hAnsi="Arial"/>
      <w:b/>
      <w:sz w:val="22"/>
      <w:lang w:eastAsia="en-US"/>
    </w:rPr>
  </w:style>
  <w:style w:type="character" w:customStyle="1" w:styleId="Heading4Char">
    <w:name w:val="Heading 4 Char"/>
    <w:link w:val="Heading4"/>
    <w:rsid w:val="00762ADC"/>
    <w:rPr>
      <w:rFonts w:ascii="Arial" w:hAnsi="Arial"/>
      <w:u w:val="single"/>
      <w:lang w:eastAsia="en-US"/>
    </w:rPr>
  </w:style>
  <w:style w:type="character" w:customStyle="1" w:styleId="Heading5Char">
    <w:name w:val="Heading 5 Char"/>
    <w:link w:val="Heading5"/>
    <w:rsid w:val="00762ADC"/>
    <w:rPr>
      <w:rFonts w:ascii="Arial" w:hAnsi="Arial"/>
      <w:b/>
      <w:u w:val="single"/>
      <w:lang w:eastAsia="en-US"/>
    </w:rPr>
  </w:style>
  <w:style w:type="character" w:customStyle="1" w:styleId="Heading6Char">
    <w:name w:val="Heading 6 Char"/>
    <w:link w:val="Heading6"/>
    <w:rsid w:val="00762ADC"/>
    <w:rPr>
      <w:rFonts w:ascii="Arial" w:hAnsi="Arial"/>
      <w:b/>
      <w:sz w:val="22"/>
      <w:lang w:eastAsia="en-US"/>
    </w:rPr>
  </w:style>
  <w:style w:type="character" w:customStyle="1" w:styleId="Heading7Char">
    <w:name w:val="Heading 7 Char"/>
    <w:link w:val="Heading7"/>
    <w:rsid w:val="00762ADC"/>
    <w:rPr>
      <w:rFonts w:ascii="Arial" w:hAnsi="Arial"/>
      <w:sz w:val="22"/>
      <w:u w:val="single"/>
      <w:lang w:eastAsia="en-US"/>
    </w:rPr>
  </w:style>
  <w:style w:type="character" w:customStyle="1" w:styleId="HeaderChar">
    <w:name w:val="Header Char"/>
    <w:link w:val="Header"/>
    <w:rsid w:val="00762ADC"/>
    <w:rPr>
      <w:rFonts w:ascii="Arial" w:hAnsi="Arial"/>
      <w:sz w:val="22"/>
      <w:lang w:eastAsia="en-US"/>
    </w:rPr>
  </w:style>
  <w:style w:type="character" w:customStyle="1" w:styleId="BodyTextIndent2Char">
    <w:name w:val="Body Text Indent 2 Char"/>
    <w:link w:val="BodyTextIndent2"/>
    <w:rsid w:val="00762ADC"/>
    <w:rPr>
      <w:rFonts w:ascii="Arial" w:hAnsi="Arial"/>
      <w:sz w:val="22"/>
      <w:lang w:eastAsia="en-US"/>
    </w:rPr>
  </w:style>
  <w:style w:type="character" w:customStyle="1" w:styleId="FooterChar">
    <w:name w:val="Footer Char"/>
    <w:link w:val="Footer"/>
    <w:rsid w:val="00762ADC"/>
    <w:rPr>
      <w:rFonts w:ascii="Arial" w:hAnsi="Arial"/>
      <w:sz w:val="22"/>
      <w:lang w:eastAsia="en-US"/>
    </w:rPr>
  </w:style>
  <w:style w:type="character" w:customStyle="1" w:styleId="BodyTextIndent3Char">
    <w:name w:val="Body Text Indent 3 Char"/>
    <w:link w:val="BodyTextIndent3"/>
    <w:rsid w:val="00762ADC"/>
    <w:rPr>
      <w:rFonts w:ascii="Arial" w:hAnsi="Arial"/>
      <w:sz w:val="22"/>
      <w:lang w:eastAsia="en-US"/>
    </w:rPr>
  </w:style>
  <w:style w:type="character" w:customStyle="1" w:styleId="BodyTextIndentChar">
    <w:name w:val="Body Text Indent Char"/>
    <w:link w:val="BodyTextIndent"/>
    <w:rsid w:val="00762ADC"/>
    <w:rPr>
      <w:rFonts w:ascii="Arial" w:hAnsi="Arial"/>
      <w:sz w:val="22"/>
      <w:lang w:eastAsia="en-US"/>
    </w:rPr>
  </w:style>
  <w:style w:type="character" w:customStyle="1" w:styleId="BalloonTextChar">
    <w:name w:val="Balloon Text Char"/>
    <w:link w:val="BalloonText"/>
    <w:semiHidden/>
    <w:rsid w:val="00762ADC"/>
    <w:rPr>
      <w:rFonts w:ascii="Tahoma" w:hAnsi="Tahoma" w:cs="Tahoma"/>
      <w:sz w:val="16"/>
      <w:szCs w:val="16"/>
      <w:lang w:eastAsia="en-US"/>
    </w:rPr>
  </w:style>
  <w:style w:type="table" w:customStyle="1" w:styleId="TableGrid1">
    <w:name w:val="Table Grid1"/>
    <w:basedOn w:val="TableNormal"/>
    <w:next w:val="TableGrid"/>
    <w:rsid w:val="00762AD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9678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9663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118319">
      <w:bodyDiv w:val="1"/>
      <w:marLeft w:val="0"/>
      <w:marRight w:val="0"/>
      <w:marTop w:val="0"/>
      <w:marBottom w:val="0"/>
      <w:divBdr>
        <w:top w:val="none" w:sz="0" w:space="0" w:color="auto"/>
        <w:left w:val="none" w:sz="0" w:space="0" w:color="auto"/>
        <w:bottom w:val="none" w:sz="0" w:space="0" w:color="auto"/>
        <w:right w:val="none" w:sz="0" w:space="0" w:color="auto"/>
      </w:divBdr>
    </w:div>
    <w:div w:id="618101874">
      <w:bodyDiv w:val="1"/>
      <w:marLeft w:val="0"/>
      <w:marRight w:val="0"/>
      <w:marTop w:val="0"/>
      <w:marBottom w:val="0"/>
      <w:divBdr>
        <w:top w:val="none" w:sz="0" w:space="0" w:color="auto"/>
        <w:left w:val="none" w:sz="0" w:space="0" w:color="auto"/>
        <w:bottom w:val="none" w:sz="0" w:space="0" w:color="auto"/>
        <w:right w:val="none" w:sz="0" w:space="0" w:color="auto"/>
      </w:divBdr>
    </w:div>
    <w:div w:id="1090345487">
      <w:bodyDiv w:val="1"/>
      <w:marLeft w:val="0"/>
      <w:marRight w:val="0"/>
      <w:marTop w:val="0"/>
      <w:marBottom w:val="0"/>
      <w:divBdr>
        <w:top w:val="none" w:sz="0" w:space="0" w:color="auto"/>
        <w:left w:val="none" w:sz="0" w:space="0" w:color="auto"/>
        <w:bottom w:val="none" w:sz="0" w:space="0" w:color="auto"/>
        <w:right w:val="none" w:sz="0" w:space="0" w:color="auto"/>
      </w:divBdr>
    </w:div>
    <w:div w:id="1736659489">
      <w:bodyDiv w:val="1"/>
      <w:marLeft w:val="0"/>
      <w:marRight w:val="0"/>
      <w:marTop w:val="0"/>
      <w:marBottom w:val="0"/>
      <w:divBdr>
        <w:top w:val="none" w:sz="0" w:space="0" w:color="auto"/>
        <w:left w:val="none" w:sz="0" w:space="0" w:color="auto"/>
        <w:bottom w:val="none" w:sz="0" w:space="0" w:color="auto"/>
        <w:right w:val="none" w:sz="0" w:space="0" w:color="auto"/>
      </w:divBdr>
    </w:div>
    <w:div w:id="178310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b65bf0e-7081-4583-b2f5-8a330c0c8789" xsi:nil="true"/>
    <lcf76f155ced4ddcb4097134ff3c332f xmlns="93da8161-ddec-478b-86a1-c05e0c16f3e7">
      <Terms xmlns="http://schemas.microsoft.com/office/infopath/2007/PartnerControls"/>
    </lcf76f155ced4ddcb4097134ff3c332f>
    <_ip_UnifiedCompliancePolicyProperties xmlns="http://schemas.microsoft.com/sharepoint/v3" xsi:nil="true"/>
    <_dlc_DocId xmlns="5b65bf0e-7081-4583-b2f5-8a330c0c8789">7DX77YRMCCNA-841004754-63971</_dlc_DocId>
    <_dlc_DocIdUrl xmlns="5b65bf0e-7081-4583-b2f5-8a330c0c8789">
      <Url>https://dundeecitygovuk.sharepoint.com/sites/SP-CorporateFinance/_layouts/15/DocIdRedir.aspx?ID=7DX77YRMCCNA-841004754-63971</Url>
      <Description>7DX77YRMCCNA-841004754-63971</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C096AEE0C4BB34692BC407FB68CD074" ma:contentTypeVersion="16" ma:contentTypeDescription="Create a new document." ma:contentTypeScope="" ma:versionID="092dbd6a127ff70f8a3f3dee431453ec">
  <xsd:schema xmlns:xsd="http://www.w3.org/2001/XMLSchema" xmlns:xs="http://www.w3.org/2001/XMLSchema" xmlns:p="http://schemas.microsoft.com/office/2006/metadata/properties" xmlns:ns1="http://schemas.microsoft.com/sharepoint/v3" xmlns:ns2="5b65bf0e-7081-4583-b2f5-8a330c0c8789" xmlns:ns3="93da8161-ddec-478b-86a1-c05e0c16f3e7" targetNamespace="http://schemas.microsoft.com/office/2006/metadata/properties" ma:root="true" ma:fieldsID="a6737f276dd61d11fdd58d167ba38647" ns1:_="" ns2:_="" ns3:_="">
    <xsd:import namespace="http://schemas.microsoft.com/sharepoint/v3"/>
    <xsd:import namespace="5b65bf0e-7081-4583-b2f5-8a330c0c8789"/>
    <xsd:import namespace="93da8161-ddec-478b-86a1-c05e0c16f3e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1:_ip_UnifiedCompliancePolicyProperties" minOccurs="0"/>
                <xsd:element ref="ns1:_ip_UnifiedCompliancePolicyUIAction"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65bf0e-7081-4583-b2f5-8a330c0c878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d4fad90-6dc3-49fc-bfc6-9b048e3e06e5}" ma:internalName="TaxCatchAll" ma:showField="CatchAllData" ma:web="5b65bf0e-7081-4583-b2f5-8a330c0c87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da8161-ddec-478b-86a1-c05e0c16f3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83D883-8218-468A-BD0B-DFF7817083DA}">
  <ds:schemaRefs>
    <ds:schemaRef ds:uri="http://schemas.microsoft.com/office/2006/metadata/properties"/>
    <ds:schemaRef ds:uri="http://schemas.microsoft.com/office/infopath/2007/PartnerControls"/>
    <ds:schemaRef ds:uri="http://schemas.microsoft.com/sharepoint/v3"/>
    <ds:schemaRef ds:uri="5b65bf0e-7081-4583-b2f5-8a330c0c8789"/>
    <ds:schemaRef ds:uri="93da8161-ddec-478b-86a1-c05e0c16f3e7"/>
  </ds:schemaRefs>
</ds:datastoreItem>
</file>

<file path=customXml/itemProps2.xml><?xml version="1.0" encoding="utf-8"?>
<ds:datastoreItem xmlns:ds="http://schemas.openxmlformats.org/officeDocument/2006/customXml" ds:itemID="{52546821-200B-47D1-A695-8540B9FB29FF}">
  <ds:schemaRefs>
    <ds:schemaRef ds:uri="http://schemas.openxmlformats.org/officeDocument/2006/bibliography"/>
  </ds:schemaRefs>
</ds:datastoreItem>
</file>

<file path=customXml/itemProps3.xml><?xml version="1.0" encoding="utf-8"?>
<ds:datastoreItem xmlns:ds="http://schemas.openxmlformats.org/officeDocument/2006/customXml" ds:itemID="{B726F11C-6361-45BE-B66F-BC0D404AD8E5}">
  <ds:schemaRefs>
    <ds:schemaRef ds:uri="http://schemas.microsoft.com/sharepoint/v3/contenttype/forms"/>
  </ds:schemaRefs>
</ds:datastoreItem>
</file>

<file path=customXml/itemProps4.xml><?xml version="1.0" encoding="utf-8"?>
<ds:datastoreItem xmlns:ds="http://schemas.openxmlformats.org/officeDocument/2006/customXml" ds:itemID="{D179D171-E333-4DB1-AAB5-C0E73B2D6999}">
  <ds:schemaRefs>
    <ds:schemaRef ds:uri="http://schemas.microsoft.com/sharepoint/events"/>
  </ds:schemaRefs>
</ds:datastoreItem>
</file>

<file path=customXml/itemProps5.xml><?xml version="1.0" encoding="utf-8"?>
<ds:datastoreItem xmlns:ds="http://schemas.openxmlformats.org/officeDocument/2006/customXml" ds:itemID="{BB3D0E26-E90F-4471-B6DD-2365C12A8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65bf0e-7081-4583-b2f5-8a330c0c8789"/>
    <ds:schemaRef ds:uri="93da8161-ddec-478b-86a1-c05e0c16f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4179</Characters>
  <Application>Microsoft Office Word</Application>
  <DocSecurity>0</DocSecurity>
  <Lines>34</Lines>
  <Paragraphs>9</Paragraphs>
  <ScaleCrop>false</ScaleCrop>
  <Company>DUNDEE CITY COUNCIL</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dc:title>
  <dc:subject/>
  <dc:creator>Finance Department</dc:creator>
  <cp:keywords/>
  <cp:lastModifiedBy>Stuart Norrie</cp:lastModifiedBy>
  <cp:revision>3</cp:revision>
  <cp:lastPrinted>2016-05-25T11:18:00Z</cp:lastPrinted>
  <dcterms:created xsi:type="dcterms:W3CDTF">2025-08-25T12:48:00Z</dcterms:created>
  <dcterms:modified xsi:type="dcterms:W3CDTF">2025-09-23T14:56:00Z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0x010100FC096AEE0C4BB34692BC407FB68CD074</vt:lpwstr>
  </property>
  <property fmtid="{D5CDD505-2E9C-101B-9397-08002B2CF9AE}" pid="3" name="_dlc_DocIdItemGuid">
    <vt:lpwstr>14dea3ba-2060-4c64-a86c-27f9c0f9e6d4</vt:lpwstr>
  </property>
  <property fmtid="{D5CDD505-2E9C-101B-9397-08002B2CF9AE}" pid="4" name="MediaServiceImageTags">
    <vt:lpwstr/>
  </property>
</Properties>
</file>